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EF79" w14:textId="77777777" w:rsidR="00BE648D" w:rsidRDefault="00BE648D" w:rsidP="00843C37">
      <w:pPr>
        <w:spacing w:before="2" w:line="366" w:lineRule="exact"/>
        <w:jc w:val="center"/>
        <w:textAlignment w:val="baseline"/>
        <w:rPr>
          <w:rFonts w:ascii="Arial" w:eastAsia="Arial" w:hAnsi="Arial"/>
          <w:b/>
          <w:i/>
          <w:sz w:val="32"/>
          <w:lang w:val="es-ES"/>
        </w:rPr>
      </w:pPr>
    </w:p>
    <w:p w14:paraId="10AAEF7A" w14:textId="77777777" w:rsidR="00BE648D" w:rsidRPr="00913EB1" w:rsidRDefault="00BE648D" w:rsidP="00BE648D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913EB1">
        <w:rPr>
          <w:rFonts w:ascii="Arial" w:hAnsi="Arial" w:cs="Arial"/>
          <w:b/>
          <w:sz w:val="32"/>
          <w:szCs w:val="32"/>
          <w:lang w:val="es-ES"/>
        </w:rPr>
        <w:t>ANEXO</w:t>
      </w:r>
    </w:p>
    <w:p w14:paraId="10AAEF7B" w14:textId="77777777" w:rsidR="00BE648D" w:rsidRDefault="00BE648D" w:rsidP="00BE648D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60" w:lineRule="auto"/>
        <w:jc w:val="center"/>
        <w:rPr>
          <w:rFonts w:ascii="Arial" w:eastAsia="Times New Roman" w:hAnsi="Arial" w:cs="Arial"/>
          <w:b/>
          <w:lang w:val="es-ES"/>
        </w:rPr>
      </w:pPr>
    </w:p>
    <w:p w14:paraId="10AAEF7C" w14:textId="77777777" w:rsidR="00843C37" w:rsidRPr="00B82006" w:rsidRDefault="00843C37" w:rsidP="00843C37">
      <w:pPr>
        <w:spacing w:before="2" w:line="366" w:lineRule="exact"/>
        <w:jc w:val="center"/>
        <w:textAlignment w:val="baseline"/>
        <w:rPr>
          <w:rFonts w:ascii="Arial" w:eastAsia="Arial" w:hAnsi="Arial"/>
          <w:b/>
          <w:i/>
          <w:sz w:val="32"/>
          <w:lang w:val="es-ES"/>
        </w:rPr>
      </w:pPr>
      <w:r w:rsidRPr="00B82006">
        <w:rPr>
          <w:rFonts w:ascii="Arial" w:eastAsia="Arial" w:hAnsi="Arial"/>
          <w:b/>
          <w:i/>
          <w:sz w:val="32"/>
          <w:lang w:val="es-ES"/>
        </w:rPr>
        <w:t>MODELO DE CONVENIO</w:t>
      </w:r>
    </w:p>
    <w:p w14:paraId="10AAEF7D" w14:textId="77777777" w:rsidR="00843C37" w:rsidRPr="00B82006" w:rsidRDefault="00843C37" w:rsidP="00843C37">
      <w:pPr>
        <w:spacing w:before="1108" w:line="366" w:lineRule="exact"/>
        <w:jc w:val="center"/>
        <w:textAlignment w:val="baseline"/>
        <w:rPr>
          <w:rFonts w:ascii="Arial" w:eastAsia="Arial" w:hAnsi="Arial"/>
          <w:b/>
          <w:i/>
          <w:spacing w:val="-2"/>
          <w:sz w:val="32"/>
          <w:lang w:val="es-ES"/>
        </w:rPr>
      </w:pPr>
      <w:r w:rsidRPr="00B82006">
        <w:rPr>
          <w:rFonts w:ascii="Arial" w:eastAsia="Arial" w:hAnsi="Arial"/>
          <w:b/>
          <w:i/>
          <w:spacing w:val="-2"/>
          <w:sz w:val="32"/>
          <w:lang w:val="es-ES"/>
        </w:rPr>
        <w:t>entre</w:t>
      </w:r>
    </w:p>
    <w:p w14:paraId="10AAEF7E" w14:textId="77777777" w:rsidR="00843C37" w:rsidRPr="00B82006" w:rsidRDefault="00843C37" w:rsidP="00843C37">
      <w:pPr>
        <w:spacing w:before="1844" w:line="364" w:lineRule="exact"/>
        <w:jc w:val="center"/>
        <w:textAlignment w:val="baseline"/>
        <w:rPr>
          <w:rFonts w:ascii="Arial" w:eastAsia="Arial" w:hAnsi="Arial"/>
          <w:b/>
          <w:i/>
          <w:sz w:val="32"/>
          <w:lang w:val="es-ES"/>
        </w:rPr>
      </w:pPr>
      <w:r w:rsidRPr="00B82006">
        <w:rPr>
          <w:rFonts w:ascii="Arial" w:eastAsia="Arial" w:hAnsi="Arial"/>
          <w:b/>
          <w:i/>
          <w:sz w:val="32"/>
          <w:lang w:val="es-ES"/>
        </w:rPr>
        <w:t xml:space="preserve">Sociedad de Gestión de los Sistemas de Registro, </w:t>
      </w:r>
      <w:r w:rsidRPr="00B82006">
        <w:rPr>
          <w:rFonts w:ascii="Arial" w:eastAsia="Arial" w:hAnsi="Arial"/>
          <w:b/>
          <w:i/>
          <w:sz w:val="32"/>
          <w:lang w:val="es-ES"/>
        </w:rPr>
        <w:br/>
        <w:t>Compensación y Liquidación de Valores, S.A.</w:t>
      </w:r>
    </w:p>
    <w:p w14:paraId="10AAEF7F" w14:textId="77777777" w:rsidR="00843C37" w:rsidRPr="00B82006" w:rsidRDefault="00843C37" w:rsidP="00843C37">
      <w:pPr>
        <w:spacing w:before="1108" w:line="366" w:lineRule="exact"/>
        <w:jc w:val="center"/>
        <w:textAlignment w:val="baseline"/>
        <w:rPr>
          <w:rFonts w:ascii="Arial" w:eastAsia="Arial" w:hAnsi="Arial"/>
          <w:b/>
          <w:i/>
          <w:sz w:val="32"/>
          <w:lang w:val="es-ES"/>
        </w:rPr>
      </w:pPr>
      <w:r w:rsidRPr="00B82006">
        <w:rPr>
          <w:rFonts w:ascii="Arial" w:eastAsia="Arial" w:hAnsi="Arial"/>
          <w:b/>
          <w:i/>
          <w:sz w:val="32"/>
          <w:lang w:val="es-ES"/>
        </w:rPr>
        <w:t>y</w:t>
      </w:r>
    </w:p>
    <w:p w14:paraId="10AAEF80" w14:textId="2A0EE7AD" w:rsidR="00843C37" w:rsidRPr="00B82006" w:rsidRDefault="00843C37" w:rsidP="00843C37">
      <w:pPr>
        <w:spacing w:before="738" w:line="366" w:lineRule="exact"/>
        <w:jc w:val="center"/>
        <w:textAlignment w:val="baseline"/>
        <w:rPr>
          <w:rFonts w:ascii="Arial" w:eastAsia="Arial" w:hAnsi="Arial"/>
          <w:b/>
          <w:i/>
          <w:spacing w:val="1"/>
          <w:sz w:val="32"/>
          <w:lang w:val="es-ES"/>
        </w:rPr>
      </w:pPr>
      <w:r w:rsidRPr="00B82006">
        <w:rPr>
          <w:rFonts w:ascii="Arial" w:eastAsia="Arial" w:hAnsi="Arial"/>
          <w:b/>
          <w:i/>
          <w:spacing w:val="1"/>
          <w:sz w:val="32"/>
          <w:lang w:val="es-ES"/>
        </w:rPr>
        <w:t xml:space="preserve"> </w:t>
      </w:r>
      <w:sdt>
        <w:sdtPr>
          <w:rPr>
            <w:rFonts w:ascii="Arial" w:eastAsia="Arial" w:hAnsi="Arial"/>
            <w:b/>
            <w:i/>
            <w:spacing w:val="1"/>
            <w:sz w:val="32"/>
            <w:lang w:val="es-ES"/>
          </w:rPr>
          <w:id w:val="-1899430063"/>
          <w:placeholder>
            <w:docPart w:val="DefaultPlaceholder_-1854013440"/>
          </w:placeholder>
        </w:sdtPr>
        <w:sdtEndPr/>
        <w:sdtContent>
          <w:r w:rsidR="00344C46">
            <w:rPr>
              <w:rFonts w:ascii="Arial" w:eastAsia="Arial" w:hAnsi="Arial"/>
              <w:b/>
              <w:i/>
              <w:spacing w:val="1"/>
              <w:sz w:val="32"/>
              <w:lang w:val="es-ES"/>
            </w:rPr>
            <w:t xml:space="preserve">otro </w:t>
          </w:r>
          <w:r w:rsidRPr="00B82006">
            <w:rPr>
              <w:rFonts w:ascii="Arial" w:eastAsia="Arial" w:hAnsi="Arial"/>
              <w:b/>
              <w:i/>
              <w:spacing w:val="1"/>
              <w:sz w:val="32"/>
              <w:lang w:val="es-ES"/>
            </w:rPr>
            <w:t>DEPOSITARIO CENTRAL DE VALORES</w:t>
          </w:r>
        </w:sdtContent>
      </w:sdt>
    </w:p>
    <w:p w14:paraId="10AAEF81" w14:textId="4DBD87A4" w:rsidR="00843C37" w:rsidRPr="00B82006" w:rsidRDefault="00344C46" w:rsidP="00843C37">
      <w:pPr>
        <w:tabs>
          <w:tab w:val="left" w:leader="dot" w:pos="4248"/>
        </w:tabs>
        <w:spacing w:before="2485" w:line="329" w:lineRule="exact"/>
        <w:ind w:left="3384"/>
        <w:jc w:val="center"/>
        <w:textAlignment w:val="baseline"/>
        <w:rPr>
          <w:rFonts w:ascii="Arial" w:eastAsia="Arial" w:hAnsi="Arial"/>
          <w:sz w:val="30"/>
          <w:lang w:val="es-ES"/>
        </w:rPr>
      </w:pPr>
      <w:sdt>
        <w:sdtPr>
          <w:rPr>
            <w:rFonts w:ascii="Arial" w:eastAsia="Arial" w:hAnsi="Arial"/>
            <w:sz w:val="30"/>
            <w:lang w:val="es-ES"/>
          </w:rPr>
          <w:id w:val="-62797411"/>
          <w:placeholder>
            <w:docPart w:val="DefaultPlaceholder_-1854013440"/>
          </w:placeholder>
          <w:showingPlcHdr/>
        </w:sdtPr>
        <w:sdtEndPr/>
        <w:sdtContent>
          <w:r w:rsidR="006F59E9" w:rsidRPr="00F65861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="00843C37" w:rsidRPr="00B82006">
        <w:rPr>
          <w:rFonts w:ascii="Arial" w:eastAsia="Arial" w:hAnsi="Arial"/>
          <w:sz w:val="30"/>
          <w:lang w:val="es-ES"/>
        </w:rPr>
        <w:tab/>
        <w:t xml:space="preserve">. </w:t>
      </w:r>
      <w:r w:rsidR="00843C37" w:rsidRPr="00B82006">
        <w:rPr>
          <w:rFonts w:ascii="Arial" w:eastAsia="Arial" w:hAnsi="Arial"/>
          <w:sz w:val="28"/>
          <w:lang w:val="es-ES"/>
        </w:rPr>
        <w:t>de 20</w:t>
      </w:r>
      <w:sdt>
        <w:sdtPr>
          <w:rPr>
            <w:rFonts w:ascii="Arial" w:eastAsia="Arial" w:hAnsi="Arial"/>
            <w:sz w:val="28"/>
            <w:lang w:val="es-ES"/>
          </w:rPr>
          <w:id w:val="-166630623"/>
          <w:placeholder>
            <w:docPart w:val="DefaultPlaceholder_-1854013440"/>
          </w:placeholder>
        </w:sdtPr>
        <w:sdtEndPr/>
        <w:sdtContent>
          <w:r w:rsidR="00843C37" w:rsidRPr="00B82006">
            <w:rPr>
              <w:rFonts w:ascii="Arial" w:eastAsia="Arial" w:hAnsi="Arial"/>
              <w:sz w:val="28"/>
              <w:lang w:val="es-ES"/>
            </w:rPr>
            <w:t>..</w:t>
          </w:r>
        </w:sdtContent>
      </w:sdt>
    </w:p>
    <w:p w14:paraId="10AAEF82" w14:textId="77777777" w:rsidR="00843C37" w:rsidRPr="00B82006" w:rsidRDefault="00843C37" w:rsidP="00843C37">
      <w:pPr>
        <w:spacing w:before="1836" w:line="225" w:lineRule="exact"/>
        <w:jc w:val="center"/>
        <w:textAlignment w:val="baseline"/>
        <w:rPr>
          <w:rFonts w:eastAsia="Times New Roman"/>
          <w:sz w:val="24"/>
          <w:lang w:val="es-ES"/>
        </w:rPr>
      </w:pPr>
    </w:p>
    <w:p w14:paraId="10AAEF83" w14:textId="77777777" w:rsidR="00843C37" w:rsidRPr="00B82006" w:rsidRDefault="00843C37" w:rsidP="00843C37">
      <w:pPr>
        <w:ind w:left="6604" w:right="461"/>
        <w:textAlignment w:val="baseline"/>
        <w:rPr>
          <w:lang w:val="es-ES"/>
        </w:rPr>
      </w:pPr>
    </w:p>
    <w:p w14:paraId="10AAEF84" w14:textId="77777777" w:rsidR="00843C37" w:rsidRPr="00B82006" w:rsidRDefault="00843C37" w:rsidP="00843C37">
      <w:pPr>
        <w:rPr>
          <w:lang w:val="es-ES"/>
        </w:rPr>
      </w:pPr>
    </w:p>
    <w:p w14:paraId="10AAEF85" w14:textId="77777777" w:rsidR="00843C37" w:rsidRPr="00B82006" w:rsidRDefault="00843C37" w:rsidP="00843C37">
      <w:pPr>
        <w:rPr>
          <w:lang w:val="es-ES"/>
        </w:rPr>
      </w:pPr>
    </w:p>
    <w:p w14:paraId="10AAEF86" w14:textId="77777777" w:rsidR="00843C37" w:rsidRPr="00B82006" w:rsidRDefault="00843C37" w:rsidP="00843C37">
      <w:pPr>
        <w:tabs>
          <w:tab w:val="left" w:pos="6480"/>
        </w:tabs>
        <w:rPr>
          <w:lang w:val="es-ES"/>
        </w:rPr>
        <w:sectPr w:rsidR="00843C37" w:rsidRPr="00B820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260" w:right="946" w:bottom="914" w:left="1743" w:header="720" w:footer="720" w:gutter="0"/>
          <w:cols w:space="720"/>
        </w:sectPr>
      </w:pPr>
      <w:r w:rsidRPr="00B82006">
        <w:rPr>
          <w:lang w:val="es-ES"/>
        </w:rPr>
        <w:tab/>
      </w:r>
    </w:p>
    <w:p w14:paraId="10AAEF87" w14:textId="77777777" w:rsidR="00843C37" w:rsidRPr="00B82006" w:rsidRDefault="00843C37" w:rsidP="00843C37">
      <w:pPr>
        <w:spacing w:line="279" w:lineRule="exact"/>
        <w:jc w:val="center"/>
        <w:textAlignment w:val="baseline"/>
        <w:rPr>
          <w:rFonts w:ascii="Arial" w:eastAsia="Arial" w:hAnsi="Arial"/>
          <w:b/>
          <w:sz w:val="24"/>
          <w:lang w:val="es-ES"/>
        </w:rPr>
      </w:pPr>
      <w:r w:rsidRPr="00B82006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0AAEFD9" wp14:editId="10AAEFDA">
                <wp:simplePos x="0" y="0"/>
                <wp:positionH relativeFrom="page">
                  <wp:posOffset>5391785</wp:posOffset>
                </wp:positionH>
                <wp:positionV relativeFrom="page">
                  <wp:posOffset>9860280</wp:posOffset>
                </wp:positionV>
                <wp:extent cx="1222375" cy="88265"/>
                <wp:effectExtent l="635" t="1905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EFDD" w14:textId="77777777" w:rsidR="00843C37" w:rsidRDefault="00843C37" w:rsidP="00843C37">
                            <w:pPr>
                              <w:spacing w:line="12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66"/>
                                <w:spacing w:val="-4"/>
                                <w:sz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AEF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4.55pt;margin-top:776.4pt;width:96.25pt;height:6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" filled="f" stroked="f">
                <v:textbox inset="0,0,0,0">
                  <w:txbxContent>
                    <w:p w14:paraId="10AAEFDD" w14:textId="77777777" w:rsidR="00843C37" w:rsidRDefault="00843C37" w:rsidP="00843C37">
                      <w:pPr>
                        <w:spacing w:line="12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66"/>
                          <w:spacing w:val="-4"/>
                          <w:sz w:val="12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2006">
        <w:rPr>
          <w:rFonts w:ascii="Arial" w:eastAsia="Arial" w:hAnsi="Arial"/>
          <w:b/>
          <w:sz w:val="24"/>
          <w:lang w:val="es-ES"/>
        </w:rPr>
        <w:t>SECCIÓN LEGAL</w:t>
      </w:r>
    </w:p>
    <w:p w14:paraId="00C5D92D" w14:textId="77777777" w:rsidR="00211ECB" w:rsidRDefault="00211ECB" w:rsidP="00211ECB">
      <w:pPr>
        <w:spacing w:before="3" w:line="251" w:lineRule="exact"/>
        <w:textAlignment w:val="baseline"/>
        <w:rPr>
          <w:rFonts w:ascii="Arial" w:eastAsia="Arial" w:hAnsi="Arial"/>
          <w:lang w:val="es-ES"/>
        </w:rPr>
      </w:pPr>
    </w:p>
    <w:p w14:paraId="69271775" w14:textId="77777777" w:rsidR="00211ECB" w:rsidRDefault="00211ECB" w:rsidP="00211ECB">
      <w:pPr>
        <w:spacing w:before="3" w:line="251" w:lineRule="exact"/>
        <w:textAlignment w:val="baseline"/>
        <w:rPr>
          <w:rFonts w:ascii="Arial" w:eastAsia="Arial" w:hAnsi="Arial"/>
          <w:lang w:val="es-ES"/>
        </w:rPr>
      </w:pPr>
    </w:p>
    <w:p w14:paraId="1F24C864" w14:textId="41295177" w:rsidR="00211ECB" w:rsidRPr="00B82006" w:rsidRDefault="00211ECB" w:rsidP="00211ECB">
      <w:pPr>
        <w:spacing w:before="3" w:line="251" w:lineRule="exact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 xml:space="preserve">En Madrid, a </w:t>
      </w:r>
      <w:sdt>
        <w:sdtPr>
          <w:rPr>
            <w:rFonts w:ascii="Arial" w:eastAsia="Arial" w:hAnsi="Arial"/>
            <w:lang w:val="es-ES"/>
          </w:rPr>
          <w:id w:val="98760006"/>
          <w:placeholder>
            <w:docPart w:val="411343A07E904C2AB296D55C312CD1A2"/>
          </w:placeholder>
        </w:sdtPr>
        <w:sdtEndPr/>
        <w:sdtContent>
          <w:proofErr w:type="gramStart"/>
          <w:r>
            <w:rPr>
              <w:rFonts w:ascii="Arial" w:eastAsia="Arial" w:hAnsi="Arial"/>
              <w:lang w:val="es-ES"/>
            </w:rPr>
            <w:t>…….</w:t>
          </w:r>
          <w:proofErr w:type="gramEnd"/>
        </w:sdtContent>
      </w:sdt>
    </w:p>
    <w:p w14:paraId="3591E082" w14:textId="76EC0D39" w:rsidR="006F59E9" w:rsidRPr="00B82006" w:rsidRDefault="00211ECB" w:rsidP="00843C37">
      <w:pPr>
        <w:spacing w:before="19" w:line="509" w:lineRule="exact"/>
        <w:ind w:right="7848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De una parte:</w:t>
      </w:r>
    </w:p>
    <w:p w14:paraId="10AAEF89" w14:textId="77777777" w:rsidR="00843C37" w:rsidRPr="00B82006" w:rsidRDefault="00843C37" w:rsidP="00843C37">
      <w:pPr>
        <w:numPr>
          <w:ilvl w:val="0"/>
          <w:numId w:val="1"/>
        </w:numPr>
        <w:spacing w:before="254" w:line="252" w:lineRule="exact"/>
        <w:ind w:left="576" w:right="504" w:hanging="576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Sociedad de Gestión de los Sistemas de Registro, Compensación y Liquidación de Valores, S.A., Unipersonal (</w:t>
      </w:r>
      <w:r w:rsidR="00AC2F46">
        <w:rPr>
          <w:rFonts w:ascii="Arial" w:eastAsia="Arial" w:hAnsi="Arial"/>
          <w:lang w:val="es-ES"/>
        </w:rPr>
        <w:t>IBERCLEAR</w:t>
      </w:r>
      <w:r w:rsidRPr="00B82006">
        <w:rPr>
          <w:rFonts w:ascii="Arial" w:eastAsia="Arial" w:hAnsi="Arial"/>
          <w:lang w:val="es-ES"/>
        </w:rPr>
        <w:t>) con N.I.F: A-82695677, constituida bajo ley española el 7 de junio de 2000, inscrita en el Registro Mercantil de Madrid, con domicilio social en Madrid, Plaza de la Lealtad, 14.</w:t>
      </w:r>
    </w:p>
    <w:p w14:paraId="10AAEF8A" w14:textId="77777777" w:rsidR="00843C37" w:rsidRPr="00B82006" w:rsidRDefault="00843C37" w:rsidP="00843C37">
      <w:pPr>
        <w:spacing w:before="253" w:line="251" w:lineRule="exact"/>
        <w:textAlignment w:val="baseline"/>
        <w:rPr>
          <w:rFonts w:ascii="Arial" w:eastAsia="Arial" w:hAnsi="Arial"/>
          <w:spacing w:val="-2"/>
          <w:lang w:val="es-ES"/>
        </w:rPr>
      </w:pPr>
      <w:r w:rsidRPr="00B82006">
        <w:rPr>
          <w:rFonts w:ascii="Arial" w:eastAsia="Arial" w:hAnsi="Arial"/>
          <w:spacing w:val="-2"/>
          <w:lang w:val="es-ES"/>
        </w:rPr>
        <w:t>De otra parte:</w:t>
      </w:r>
    </w:p>
    <w:p w14:paraId="10AAEF8B" w14:textId="642504FC" w:rsidR="00843C37" w:rsidRPr="00B82006" w:rsidRDefault="00843C37" w:rsidP="00843C37">
      <w:pPr>
        <w:numPr>
          <w:ilvl w:val="0"/>
          <w:numId w:val="1"/>
        </w:numPr>
        <w:tabs>
          <w:tab w:val="left" w:pos="720"/>
        </w:tabs>
        <w:spacing w:before="292" w:line="218" w:lineRule="exact"/>
        <w:ind w:left="576" w:hanging="576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Depositario Central de Valores B </w:t>
      </w:r>
      <w:sdt>
        <w:sdtPr>
          <w:rPr>
            <w:rFonts w:ascii="Arial" w:eastAsia="Arial" w:hAnsi="Arial"/>
            <w:lang w:val="es-ES"/>
          </w:rPr>
          <w:id w:val="-159782302"/>
          <w:placeholder>
            <w:docPart w:val="DefaultPlaceholder_-1854013440"/>
          </w:placeholder>
        </w:sdtPr>
        <w:sdtEndPr/>
        <w:sdtContent>
          <w:r w:rsidRPr="00B82006">
            <w:rPr>
              <w:rFonts w:ascii="Arial" w:eastAsia="Arial" w:hAnsi="Arial"/>
              <w:lang w:val="es-ES"/>
            </w:rPr>
            <w:t>(“B”)</w:t>
          </w:r>
        </w:sdtContent>
      </w:sdt>
    </w:p>
    <w:p w14:paraId="10AAEF8C" w14:textId="215BCDB9" w:rsidR="00843C37" w:rsidRDefault="00843C37" w:rsidP="00843C37">
      <w:pPr>
        <w:spacing w:before="3" w:line="251" w:lineRule="exact"/>
        <w:ind w:left="720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(</w:t>
      </w:r>
      <w:r w:rsidRPr="00B82006">
        <w:rPr>
          <w:rFonts w:ascii="Arial" w:eastAsia="Arial" w:hAnsi="Arial"/>
          <w:i/>
          <w:lang w:val="es-ES"/>
        </w:rPr>
        <w:t xml:space="preserve">incluir: </w:t>
      </w:r>
      <w:sdt>
        <w:sdtPr>
          <w:rPr>
            <w:rFonts w:ascii="Arial" w:eastAsia="Arial" w:hAnsi="Arial"/>
            <w:i/>
            <w:lang w:val="es-ES"/>
          </w:rPr>
          <w:id w:val="-537744620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Pr="00B82006">
            <w:rPr>
              <w:rFonts w:ascii="Arial" w:eastAsia="Arial" w:hAnsi="Arial"/>
              <w:i/>
              <w:lang w:val="es-ES"/>
            </w:rPr>
            <w:t xml:space="preserve">lugar de constitución, número, domicilio, </w:t>
          </w:r>
          <w:proofErr w:type="gramStart"/>
          <w:r w:rsidRPr="00B82006">
            <w:rPr>
              <w:rFonts w:ascii="Arial" w:eastAsia="Arial" w:hAnsi="Arial"/>
              <w:i/>
              <w:lang w:val="es-ES"/>
            </w:rPr>
            <w:t>etc...</w:t>
          </w:r>
          <w:proofErr w:type="gramEnd"/>
          <w:r w:rsidRPr="00B82006">
            <w:rPr>
              <w:rFonts w:ascii="Arial" w:eastAsia="Arial" w:hAnsi="Arial"/>
              <w:lang w:val="es-ES"/>
            </w:rPr>
            <w:t>)</w:t>
          </w:r>
        </w:sdtContent>
      </w:sdt>
    </w:p>
    <w:p w14:paraId="59EFFA83" w14:textId="666A584B" w:rsidR="00211ECB" w:rsidRDefault="00211ECB" w:rsidP="00211ECB">
      <w:pPr>
        <w:spacing w:before="3" w:line="251" w:lineRule="exact"/>
        <w:textAlignment w:val="baseline"/>
        <w:rPr>
          <w:rFonts w:ascii="Arial" w:eastAsia="Arial" w:hAnsi="Arial"/>
          <w:lang w:val="es-ES"/>
        </w:rPr>
      </w:pPr>
    </w:p>
    <w:p w14:paraId="10AAEF8D" w14:textId="77777777" w:rsidR="00843C37" w:rsidRPr="00B82006" w:rsidRDefault="00843C37" w:rsidP="00843C37">
      <w:pPr>
        <w:spacing w:before="757" w:line="252" w:lineRule="exact"/>
        <w:textAlignment w:val="baseline"/>
        <w:rPr>
          <w:rFonts w:ascii="Arial" w:eastAsia="Arial" w:hAnsi="Arial"/>
          <w:b/>
          <w:spacing w:val="-1"/>
          <w:lang w:val="es-ES"/>
        </w:rPr>
      </w:pPr>
      <w:r w:rsidRPr="00B82006">
        <w:rPr>
          <w:rFonts w:ascii="Arial" w:eastAsia="Arial" w:hAnsi="Arial"/>
          <w:b/>
          <w:spacing w:val="-1"/>
          <w:lang w:val="es-ES"/>
        </w:rPr>
        <w:t>Las partes</w:t>
      </w:r>
    </w:p>
    <w:p w14:paraId="10AAEF8E" w14:textId="77777777" w:rsidR="00843C37" w:rsidRPr="00B82006" w:rsidRDefault="00843C37" w:rsidP="00843C37">
      <w:pPr>
        <w:spacing w:before="256" w:line="251" w:lineRule="exact"/>
        <w:textAlignment w:val="baseline"/>
        <w:rPr>
          <w:rFonts w:ascii="Arial" w:eastAsia="Arial" w:hAnsi="Arial"/>
          <w:spacing w:val="-3"/>
          <w:lang w:val="es-ES"/>
        </w:rPr>
      </w:pPr>
      <w:r w:rsidRPr="00B82006">
        <w:rPr>
          <w:rFonts w:ascii="Arial" w:eastAsia="Arial" w:hAnsi="Arial"/>
          <w:spacing w:val="-3"/>
          <w:lang w:val="es-ES"/>
        </w:rPr>
        <w:t>I. EXPONEN:</w:t>
      </w:r>
    </w:p>
    <w:p w14:paraId="10AAEF8F" w14:textId="77777777" w:rsidR="00843C37" w:rsidRPr="00B82006" w:rsidRDefault="00843C37" w:rsidP="00843C37">
      <w:pPr>
        <w:numPr>
          <w:ilvl w:val="0"/>
          <w:numId w:val="2"/>
        </w:numPr>
        <w:spacing w:before="251" w:line="253" w:lineRule="exact"/>
        <w:ind w:left="576" w:right="504" w:hanging="576"/>
        <w:jc w:val="both"/>
        <w:textAlignment w:val="baseline"/>
        <w:rPr>
          <w:rFonts w:ascii="Arial" w:eastAsia="Arial" w:hAnsi="Arial"/>
          <w:spacing w:val="-2"/>
          <w:lang w:val="es-ES"/>
        </w:rPr>
      </w:pP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Que </w:t>
      </w:r>
      <w:r w:rsidR="00AC2F46">
        <w:rPr>
          <w:rFonts w:ascii="Arial" w:eastAsia="Times New Roman" w:hAnsi="Arial" w:cs="Arial"/>
          <w:szCs w:val="20"/>
          <w:lang w:val="es-ES" w:eastAsia="es-ES"/>
        </w:rPr>
        <w:t>IBERCLEAR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es un depositario central de valores sujeto al Reglamento (UE) nº 909/2014 del Parlamento Europeo y del Consejo, de 23 de julio de 2014, sobre la mejora de la liquidación de valores en la Unión Europea y los depositarios centrales de valores y por el que se modifican las Directivas 98/26/CE y 2014/65/EU y el Reglamento (UE) nº 236/2012 (en adelante, el “Reglamento de depositarios centrales de valores</w:t>
      </w:r>
      <w:r w:rsidRPr="00B82006">
        <w:rPr>
          <w:rFonts w:ascii="Arial" w:eastAsia="Times New Roman" w:hAnsi="Arial" w:cs="Arial"/>
          <w:b/>
          <w:szCs w:val="20"/>
          <w:lang w:val="es-ES" w:eastAsia="es-ES"/>
        </w:rPr>
        <w:t>”</w:t>
      </w:r>
      <w:r w:rsidRPr="00B82006">
        <w:rPr>
          <w:rFonts w:ascii="Arial" w:eastAsia="Times New Roman" w:hAnsi="Arial" w:cs="Arial"/>
          <w:szCs w:val="20"/>
          <w:lang w:val="es-ES" w:eastAsia="es-ES"/>
        </w:rPr>
        <w:t>), y regulado en el texto refundido de la Ley del Mercado de Valores (en adelante, “Ley del</w:t>
      </w:r>
      <w:r w:rsidR="007911B2" w:rsidRPr="00B82006">
        <w:rPr>
          <w:rFonts w:ascii="Arial" w:eastAsia="Times New Roman" w:hAnsi="Arial" w:cs="Arial"/>
          <w:szCs w:val="20"/>
          <w:lang w:val="es-ES" w:eastAsia="es-ES"/>
        </w:rPr>
        <w:t xml:space="preserve"> Mercado de Valores” o “LMV”); 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como tal, presta, entre otros, el servicio de llevanza del registro contable de valores representados mediante anotaciones en cuenta, y es el gestor del Sistema de Liquidació</w:t>
      </w:r>
      <w:r w:rsidR="008069D4" w:rsidRPr="00B82006">
        <w:rPr>
          <w:rFonts w:ascii="Arial" w:eastAsia="Times New Roman" w:hAnsi="Arial" w:cs="Arial"/>
          <w:szCs w:val="20"/>
          <w:lang w:val="es-ES" w:eastAsia="es-ES"/>
        </w:rPr>
        <w:t xml:space="preserve">n ARCO. Su autoridad competente </w:t>
      </w:r>
      <w:r w:rsidRPr="00B82006">
        <w:rPr>
          <w:rFonts w:ascii="Arial" w:eastAsia="Times New Roman" w:hAnsi="Arial" w:cs="Arial"/>
          <w:szCs w:val="20"/>
          <w:lang w:val="es-ES" w:eastAsia="es-ES"/>
        </w:rPr>
        <w:t>es la Comisión Nacional del Mercado de Valores.</w:t>
      </w:r>
    </w:p>
    <w:p w14:paraId="10AAEF90" w14:textId="241A009C" w:rsidR="00910DAD" w:rsidRPr="00B82006" w:rsidRDefault="00910DAD" w:rsidP="00843C37">
      <w:pPr>
        <w:numPr>
          <w:ilvl w:val="0"/>
          <w:numId w:val="2"/>
        </w:numPr>
        <w:spacing w:before="251" w:line="253" w:lineRule="exact"/>
        <w:ind w:left="576" w:right="504" w:hanging="576"/>
        <w:jc w:val="both"/>
        <w:textAlignment w:val="baseline"/>
        <w:rPr>
          <w:rFonts w:ascii="Arial" w:eastAsia="Times New Roman" w:hAnsi="Arial" w:cs="Arial"/>
          <w:szCs w:val="20"/>
          <w:lang w:val="es-ES" w:eastAsia="es-ES"/>
        </w:rPr>
      </w:pP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Que </w:t>
      </w:r>
      <w:sdt>
        <w:sdtPr>
          <w:rPr>
            <w:rFonts w:ascii="Arial" w:eastAsia="Times New Roman" w:hAnsi="Arial" w:cs="Arial"/>
            <w:szCs w:val="20"/>
            <w:lang w:val="es-ES" w:eastAsia="es-ES"/>
          </w:rPr>
          <w:id w:val="-450168602"/>
          <w:placeholder>
            <w:docPart w:val="DefaultPlaceholder_-1854013440"/>
          </w:placeholder>
        </w:sdtPr>
        <w:sdtEndPr/>
        <w:sdtContent>
          <w:r w:rsidR="00FA516B" w:rsidRPr="00FA516B">
            <w:rPr>
              <w:rFonts w:ascii="Arial" w:eastAsia="Times New Roman" w:hAnsi="Arial" w:cs="Arial"/>
              <w:szCs w:val="20"/>
              <w:lang w:val="es-ES" w:eastAsia="es-ES"/>
            </w:rPr>
            <w:t>XXXXX</w:t>
          </w:r>
        </w:sdtContent>
      </w:sdt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es un </w:t>
      </w:r>
      <w:r w:rsidR="008069D4" w:rsidRPr="00B82006">
        <w:rPr>
          <w:rFonts w:ascii="Arial" w:eastAsia="Times New Roman" w:hAnsi="Arial" w:cs="Arial"/>
          <w:szCs w:val="20"/>
          <w:lang w:val="es-ES" w:eastAsia="es-ES"/>
        </w:rPr>
        <w:t>depositario central de valores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constituido en (</w:t>
      </w:r>
      <w:sdt>
        <w:sdtPr>
          <w:rPr>
            <w:rFonts w:ascii="Arial" w:eastAsia="Times New Roman" w:hAnsi="Arial" w:cs="Arial"/>
            <w:szCs w:val="20"/>
            <w:lang w:val="es-ES" w:eastAsia="es-ES"/>
          </w:rPr>
          <w:id w:val="689730841"/>
          <w:placeholder>
            <w:docPart w:val="DefaultPlaceholder_-1854013440"/>
          </w:placeholder>
        </w:sdtPr>
        <w:sdtEndPr/>
        <w:sdtContent>
          <w:r w:rsidRPr="00B82006">
            <w:rPr>
              <w:rFonts w:ascii="Arial" w:eastAsia="Times New Roman" w:hAnsi="Arial" w:cs="Arial"/>
              <w:szCs w:val="20"/>
              <w:lang w:val="es-ES" w:eastAsia="es-ES"/>
            </w:rPr>
            <w:t>…</w:t>
          </w:r>
        </w:sdtContent>
      </w:sdt>
      <w:r w:rsidRPr="00B82006">
        <w:rPr>
          <w:rFonts w:ascii="Arial" w:eastAsia="Times New Roman" w:hAnsi="Arial" w:cs="Arial"/>
          <w:szCs w:val="20"/>
          <w:lang w:val="es-ES" w:eastAsia="es-ES"/>
        </w:rPr>
        <w:t>), autorizado en (</w:t>
      </w:r>
      <w:sdt>
        <w:sdtPr>
          <w:rPr>
            <w:rFonts w:ascii="Arial" w:eastAsia="Times New Roman" w:hAnsi="Arial" w:cs="Arial"/>
            <w:szCs w:val="20"/>
            <w:lang w:val="es-ES" w:eastAsia="es-ES"/>
          </w:rPr>
          <w:id w:val="-1010373662"/>
          <w:placeholder>
            <w:docPart w:val="DefaultPlaceholder_-1854013440"/>
          </w:placeholder>
        </w:sdtPr>
        <w:sdtEndPr/>
        <w:sdtContent>
          <w:r w:rsidRPr="00B82006">
            <w:rPr>
              <w:rFonts w:ascii="Arial" w:eastAsia="Times New Roman" w:hAnsi="Arial" w:cs="Arial"/>
              <w:szCs w:val="20"/>
              <w:lang w:val="es-ES" w:eastAsia="es-ES"/>
            </w:rPr>
            <w:t>…</w:t>
          </w:r>
        </w:sdtContent>
      </w:sdt>
      <w:r w:rsidRPr="00B82006">
        <w:rPr>
          <w:rFonts w:ascii="Arial" w:eastAsia="Times New Roman" w:hAnsi="Arial" w:cs="Arial"/>
          <w:szCs w:val="20"/>
          <w:lang w:val="es-ES" w:eastAsia="es-ES"/>
        </w:rPr>
        <w:t>) y sujeto al régimen (</w:t>
      </w:r>
      <w:sdt>
        <w:sdtPr>
          <w:rPr>
            <w:rFonts w:ascii="Arial" w:eastAsia="Times New Roman" w:hAnsi="Arial" w:cs="Arial"/>
            <w:szCs w:val="20"/>
            <w:lang w:val="es-ES" w:eastAsia="es-ES"/>
          </w:rPr>
          <w:id w:val="-1983372444"/>
          <w:placeholder>
            <w:docPart w:val="DefaultPlaceholder_-1854013440"/>
          </w:placeholder>
        </w:sdtPr>
        <w:sdtEndPr/>
        <w:sdtContent>
          <w:r w:rsidRPr="00B82006">
            <w:rPr>
              <w:rFonts w:ascii="Arial" w:eastAsia="Times New Roman" w:hAnsi="Arial" w:cs="Arial"/>
              <w:szCs w:val="20"/>
              <w:lang w:val="es-ES" w:eastAsia="es-ES"/>
            </w:rPr>
            <w:t>…</w:t>
          </w:r>
        </w:sdtContent>
      </w:sdt>
      <w:r w:rsidRPr="00B82006">
        <w:rPr>
          <w:rFonts w:ascii="Arial" w:eastAsia="Times New Roman" w:hAnsi="Arial" w:cs="Arial"/>
          <w:szCs w:val="20"/>
          <w:lang w:val="es-ES" w:eastAsia="es-ES"/>
        </w:rPr>
        <w:t>)</w:t>
      </w:r>
      <w:r w:rsidR="008069D4" w:rsidRPr="00B82006">
        <w:rPr>
          <w:rFonts w:ascii="Arial" w:eastAsia="Times New Roman" w:hAnsi="Arial" w:cs="Arial"/>
          <w:szCs w:val="20"/>
          <w:lang w:val="es-ES" w:eastAsia="es-ES"/>
        </w:rPr>
        <w:t>. Su autoridad competente es (</w:t>
      </w:r>
      <w:sdt>
        <w:sdtPr>
          <w:rPr>
            <w:rFonts w:ascii="Arial" w:eastAsia="Times New Roman" w:hAnsi="Arial" w:cs="Arial"/>
            <w:szCs w:val="20"/>
            <w:lang w:val="es-ES" w:eastAsia="es-ES"/>
          </w:rPr>
          <w:id w:val="690797538"/>
          <w:placeholder>
            <w:docPart w:val="DefaultPlaceholder_-1854013440"/>
          </w:placeholder>
        </w:sdtPr>
        <w:sdtEndPr/>
        <w:sdtContent>
          <w:r w:rsidR="008069D4" w:rsidRPr="00B82006">
            <w:rPr>
              <w:rFonts w:ascii="Arial" w:eastAsia="Times New Roman" w:hAnsi="Arial" w:cs="Arial"/>
              <w:szCs w:val="20"/>
              <w:lang w:val="es-ES" w:eastAsia="es-ES"/>
            </w:rPr>
            <w:t>…</w:t>
          </w:r>
        </w:sdtContent>
      </w:sdt>
      <w:r w:rsidR="008069D4" w:rsidRPr="00B82006">
        <w:rPr>
          <w:rFonts w:ascii="Arial" w:eastAsia="Times New Roman" w:hAnsi="Arial" w:cs="Arial"/>
          <w:szCs w:val="20"/>
          <w:lang w:val="es-ES" w:eastAsia="es-ES"/>
        </w:rPr>
        <w:t>)</w:t>
      </w:r>
    </w:p>
    <w:p w14:paraId="10AAEF91" w14:textId="77777777" w:rsidR="004C2443" w:rsidRPr="00B82006" w:rsidRDefault="004C2443" w:rsidP="00843C37">
      <w:pPr>
        <w:numPr>
          <w:ilvl w:val="0"/>
          <w:numId w:val="2"/>
        </w:numPr>
        <w:spacing w:before="251" w:line="253" w:lineRule="exact"/>
        <w:ind w:left="576" w:right="504" w:hanging="576"/>
        <w:jc w:val="both"/>
        <w:textAlignment w:val="baseline"/>
        <w:rPr>
          <w:rFonts w:ascii="Arial" w:eastAsia="Times New Roman" w:hAnsi="Arial" w:cs="Arial"/>
          <w:szCs w:val="20"/>
          <w:lang w:val="es-ES" w:eastAsia="es-ES"/>
        </w:rPr>
      </w:pP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De conformidad con el Reglamento de depositarios centrales de valores, la Ley del Mercado de Valores, las disposiciones del Título </w:t>
      </w:r>
      <w:r w:rsidR="00694AE6" w:rsidRPr="00B82006">
        <w:rPr>
          <w:rFonts w:ascii="Arial" w:eastAsia="Times New Roman" w:hAnsi="Arial" w:cs="Arial"/>
          <w:szCs w:val="20"/>
          <w:lang w:val="es-ES" w:eastAsia="es-ES"/>
        </w:rPr>
        <w:t xml:space="preserve">IX del Reglamento de </w:t>
      </w:r>
      <w:r w:rsidR="00AC2F46">
        <w:rPr>
          <w:rFonts w:ascii="Arial" w:eastAsia="Times New Roman" w:hAnsi="Arial" w:cs="Arial"/>
          <w:szCs w:val="20"/>
          <w:lang w:val="es-ES" w:eastAsia="es-ES"/>
        </w:rPr>
        <w:t>IBERCLEAR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(en adelante, “Reglamento de </w:t>
      </w:r>
      <w:r w:rsidR="00AC2F46">
        <w:rPr>
          <w:rFonts w:ascii="Arial" w:eastAsia="Times New Roman" w:hAnsi="Arial" w:cs="Arial"/>
          <w:szCs w:val="20"/>
          <w:lang w:val="es-ES" w:eastAsia="es-ES"/>
        </w:rPr>
        <w:t>IBERCLEAR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”) y su normativa de desarrollo, </w:t>
      </w:r>
      <w:r w:rsidR="00AC2F46">
        <w:rPr>
          <w:rFonts w:ascii="Arial" w:eastAsia="Times New Roman" w:hAnsi="Arial" w:cs="Arial"/>
          <w:szCs w:val="20"/>
          <w:lang w:val="es-ES" w:eastAsia="es-ES"/>
        </w:rPr>
        <w:t>IBERCLEAR</w:t>
      </w:r>
      <w:r w:rsidR="00694AE6" w:rsidRPr="00B82006">
        <w:rPr>
          <w:rFonts w:ascii="Arial" w:eastAsia="Times New Roman" w:hAnsi="Arial" w:cs="Arial"/>
          <w:szCs w:val="20"/>
          <w:lang w:val="es-ES" w:eastAsia="es-ES"/>
        </w:rPr>
        <w:t xml:space="preserve"> p</w:t>
      </w:r>
      <w:r w:rsidR="00910DAD" w:rsidRPr="00B82006">
        <w:rPr>
          <w:rFonts w:ascii="Arial" w:eastAsia="Times New Roman" w:hAnsi="Arial" w:cs="Arial"/>
          <w:szCs w:val="20"/>
          <w:lang w:val="es-ES" w:eastAsia="es-ES"/>
        </w:rPr>
        <w:t>uede</w:t>
      </w:r>
      <w:r w:rsidR="00694AE6" w:rsidRPr="00B82006">
        <w:rPr>
          <w:rFonts w:ascii="Arial" w:eastAsia="Times New Roman" w:hAnsi="Arial" w:cs="Arial"/>
          <w:szCs w:val="20"/>
          <w:lang w:val="es-ES" w:eastAsia="es-ES"/>
        </w:rPr>
        <w:t xml:space="preserve"> celebrar</w:t>
      </w:r>
      <w:r w:rsidRPr="00B82006">
        <w:rPr>
          <w:rFonts w:ascii="Arial" w:eastAsia="Times New Roman" w:hAnsi="Arial" w:cs="Arial"/>
          <w:szCs w:val="20"/>
          <w:lang w:val="es-ES" w:eastAsia="es-ES"/>
        </w:rPr>
        <w:t xml:space="preserve"> acuerdos con </w:t>
      </w:r>
      <w:r w:rsidR="00694AE6" w:rsidRPr="00B82006">
        <w:rPr>
          <w:rFonts w:ascii="Arial" w:eastAsia="Times New Roman" w:hAnsi="Arial" w:cs="Arial"/>
          <w:szCs w:val="20"/>
          <w:lang w:val="es-ES" w:eastAsia="es-ES"/>
        </w:rPr>
        <w:t xml:space="preserve">otros depositarios de valores con el objeto de establecer enlaces entre ellos. </w:t>
      </w:r>
    </w:p>
    <w:p w14:paraId="10AAEF92" w14:textId="77777777" w:rsidR="00843C37" w:rsidRPr="00B82006" w:rsidRDefault="00910DAD" w:rsidP="00843C37">
      <w:pPr>
        <w:numPr>
          <w:ilvl w:val="0"/>
          <w:numId w:val="2"/>
        </w:numPr>
        <w:spacing w:before="251" w:line="253" w:lineRule="exact"/>
        <w:ind w:left="576" w:right="504" w:hanging="576"/>
        <w:jc w:val="both"/>
        <w:textAlignment w:val="baseline"/>
        <w:rPr>
          <w:rFonts w:ascii="Arial" w:eastAsia="Times New Roman" w:hAnsi="Arial" w:cs="Arial"/>
          <w:szCs w:val="20"/>
          <w:lang w:val="es-ES" w:eastAsia="es-ES"/>
        </w:rPr>
      </w:pPr>
      <w:r w:rsidRPr="00B82006">
        <w:rPr>
          <w:rFonts w:ascii="Arial" w:eastAsia="Arial" w:hAnsi="Arial"/>
          <w:spacing w:val="-2"/>
          <w:lang w:val="es-ES"/>
        </w:rPr>
        <w:t xml:space="preserve">El registro contable </w:t>
      </w:r>
      <w:r w:rsidR="007911B2" w:rsidRPr="00B82006">
        <w:rPr>
          <w:rFonts w:ascii="Arial" w:eastAsia="Arial" w:hAnsi="Arial"/>
          <w:spacing w:val="-2"/>
          <w:lang w:val="es-ES"/>
        </w:rPr>
        <w:t xml:space="preserve">y el Sistema de Liquidación ARCO </w:t>
      </w:r>
      <w:r w:rsidRPr="00B82006">
        <w:rPr>
          <w:rFonts w:ascii="Arial" w:eastAsia="Arial" w:hAnsi="Arial"/>
          <w:spacing w:val="-2"/>
          <w:lang w:val="es-ES"/>
        </w:rPr>
        <w:t xml:space="preserve">gestionado por </w:t>
      </w:r>
      <w:r w:rsidR="00AC2F46">
        <w:rPr>
          <w:rFonts w:ascii="Arial" w:hAnsi="Arial"/>
          <w:spacing w:val="-2"/>
          <w:lang w:val="es-ES"/>
        </w:rPr>
        <w:t>IBERCLEAR</w:t>
      </w:r>
      <w:r w:rsidRPr="00B82006">
        <w:rPr>
          <w:rFonts w:ascii="Arial" w:hAnsi="Arial"/>
          <w:spacing w:val="-2"/>
          <w:lang w:val="es-ES"/>
        </w:rPr>
        <w:t xml:space="preserve"> </w:t>
      </w:r>
      <w:r w:rsidRPr="00B82006">
        <w:rPr>
          <w:rFonts w:ascii="Arial" w:eastAsia="Arial" w:hAnsi="Arial"/>
          <w:spacing w:val="-2"/>
          <w:lang w:val="es-ES"/>
        </w:rPr>
        <w:t>de conformidad con la normativa anteriormente mencionada hace posible la transmisión de los valores med</w:t>
      </w:r>
      <w:r w:rsidR="00AC2F46">
        <w:rPr>
          <w:rFonts w:ascii="Arial" w:eastAsia="Arial" w:hAnsi="Arial"/>
          <w:spacing w:val="-2"/>
          <w:lang w:val="es-ES"/>
        </w:rPr>
        <w:t xml:space="preserve">iante transferencia registral. </w:t>
      </w:r>
      <w:r w:rsidR="00AC2F46">
        <w:rPr>
          <w:rFonts w:ascii="Arial" w:eastAsia="Times New Roman" w:hAnsi="Arial" w:cs="Arial"/>
          <w:szCs w:val="20"/>
          <w:lang w:val="es-ES" w:eastAsia="es-ES"/>
        </w:rPr>
        <w:t>IBERCLEAR</w:t>
      </w:r>
      <w:r w:rsidR="00843C37" w:rsidRPr="00B82006">
        <w:rPr>
          <w:rFonts w:ascii="Arial" w:eastAsia="Times New Roman" w:hAnsi="Arial" w:cs="Arial"/>
          <w:szCs w:val="20"/>
          <w:lang w:val="es-ES" w:eastAsia="es-ES"/>
        </w:rPr>
        <w:t xml:space="preserve"> no ostenta derecho alguno sobre los valores mantenidos en </w:t>
      </w:r>
      <w:r w:rsidRPr="00B82006">
        <w:rPr>
          <w:rFonts w:ascii="Arial" w:eastAsia="Times New Roman" w:hAnsi="Arial" w:cs="Arial"/>
          <w:szCs w:val="20"/>
          <w:lang w:val="es-ES" w:eastAsia="es-ES"/>
        </w:rPr>
        <w:t>el Sistema de Liquidación ARCO</w:t>
      </w:r>
      <w:r w:rsidR="00843C37" w:rsidRPr="00B82006">
        <w:rPr>
          <w:rFonts w:ascii="Arial" w:eastAsia="Times New Roman" w:hAnsi="Arial" w:cs="Arial"/>
          <w:szCs w:val="20"/>
          <w:lang w:val="es-ES" w:eastAsia="es-ES"/>
        </w:rPr>
        <w:t>.</w:t>
      </w:r>
    </w:p>
    <w:p w14:paraId="10AAEF93" w14:textId="66CBC20B" w:rsidR="00843C37" w:rsidRPr="00B82006" w:rsidRDefault="00344C46" w:rsidP="00843C37">
      <w:pPr>
        <w:numPr>
          <w:ilvl w:val="0"/>
          <w:numId w:val="2"/>
        </w:numPr>
        <w:spacing w:before="256" w:line="253" w:lineRule="exact"/>
        <w:ind w:left="576" w:right="504" w:hanging="576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-219909003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</w:t>
      </w:r>
      <w:r w:rsidR="00910DAD" w:rsidRPr="00B82006">
        <w:rPr>
          <w:rFonts w:ascii="Arial" w:eastAsia="Arial" w:hAnsi="Arial"/>
          <w:lang w:val="es-ES"/>
        </w:rPr>
        <w:t>participará en el Sistema de Liquidación ARCO y accederá a los servicios acordados en el presente Convenio</w:t>
      </w:r>
      <w:r w:rsidR="008069D4" w:rsidRPr="00B82006">
        <w:rPr>
          <w:rFonts w:ascii="Arial" w:eastAsia="Arial" w:hAnsi="Arial"/>
          <w:lang w:val="es-ES"/>
        </w:rPr>
        <w:t xml:space="preserve"> </w:t>
      </w:r>
      <w:r w:rsidR="00910DAD" w:rsidRPr="00B82006">
        <w:rPr>
          <w:rFonts w:ascii="Arial" w:eastAsia="Arial" w:hAnsi="Arial"/>
          <w:lang w:val="es-ES"/>
        </w:rPr>
        <w:t xml:space="preserve">mediante la apertura de una o varias </w:t>
      </w:r>
      <w:r w:rsidR="00843C37" w:rsidRPr="00B82006">
        <w:rPr>
          <w:rFonts w:ascii="Arial" w:eastAsia="Arial" w:hAnsi="Arial"/>
          <w:lang w:val="es-ES"/>
        </w:rPr>
        <w:t xml:space="preserve">cuentas </w:t>
      </w:r>
      <w:r w:rsidR="00023A57" w:rsidRPr="00B82006">
        <w:rPr>
          <w:rFonts w:ascii="Arial" w:eastAsia="Arial" w:hAnsi="Arial"/>
          <w:lang w:val="es-ES"/>
        </w:rPr>
        <w:t>de valores</w:t>
      </w:r>
      <w:r w:rsidR="008069D4" w:rsidRPr="00B82006">
        <w:rPr>
          <w:rFonts w:ascii="Arial" w:eastAsia="Arial" w:hAnsi="Arial"/>
          <w:lang w:val="es-ES"/>
        </w:rPr>
        <w:t xml:space="preserve"> </w:t>
      </w:r>
      <w:r w:rsidR="00843C37" w:rsidRPr="00B82006">
        <w:rPr>
          <w:rFonts w:ascii="Arial" w:eastAsia="Arial" w:hAnsi="Arial"/>
          <w:lang w:val="es-ES"/>
        </w:rPr>
        <w:t xml:space="preserve">por cuenta de los participantes </w:t>
      </w:r>
      <w:r w:rsidR="00FA516B">
        <w:rPr>
          <w:rFonts w:ascii="Arial" w:eastAsia="Arial" w:hAnsi="Arial"/>
          <w:lang w:val="es-ES"/>
        </w:rPr>
        <w:t xml:space="preserve">de </w:t>
      </w:r>
      <w:sdt>
        <w:sdtPr>
          <w:rPr>
            <w:rFonts w:ascii="Arial" w:eastAsia="Arial" w:hAnsi="Arial"/>
            <w:lang w:val="es-ES"/>
          </w:rPr>
          <w:id w:val="1114863967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FA516B">
        <w:rPr>
          <w:rFonts w:ascii="Arial" w:eastAsia="Arial" w:hAnsi="Arial"/>
          <w:lang w:val="es-ES"/>
        </w:rPr>
        <w:t xml:space="preserve">. </w:t>
      </w:r>
      <w:sdt>
        <w:sdtPr>
          <w:rPr>
            <w:rFonts w:ascii="Arial" w:eastAsia="Arial" w:hAnsi="Arial"/>
            <w:lang w:val="es-ES"/>
          </w:rPr>
          <w:id w:val="97403278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/>
                <w:lang w:val="es-ES"/>
              </w:rPr>
              <w:id w:val="1673525795"/>
              <w:placeholder>
                <w:docPart w:val="DefaultPlaceholder_-1854013440"/>
              </w:placeholder>
            </w:sdtPr>
            <w:sdtEndPr/>
            <w:sdtContent>
              <w:r w:rsidR="00FA516B">
                <w:rPr>
                  <w:rFonts w:ascii="Arial" w:eastAsia="Arial" w:hAnsi="Arial"/>
                  <w:lang w:val="es-ES"/>
                </w:rPr>
                <w:t>XXXXX</w:t>
              </w:r>
            </w:sdtContent>
          </w:sdt>
        </w:sdtContent>
      </w:sdt>
      <w:r w:rsidR="00843C37" w:rsidRPr="00B82006">
        <w:rPr>
          <w:rFonts w:ascii="Arial" w:eastAsia="Arial" w:hAnsi="Arial"/>
          <w:lang w:val="es-ES"/>
        </w:rPr>
        <w:t xml:space="preserve"> no ostentará ningún derecho sobre tales valores (excepto en los siguientes casos...)</w:t>
      </w:r>
    </w:p>
    <w:p w14:paraId="10AAEF94" w14:textId="7C71CF4D" w:rsidR="00843C37" w:rsidRPr="00B82006" w:rsidRDefault="00843C37" w:rsidP="00843C37">
      <w:pPr>
        <w:numPr>
          <w:ilvl w:val="0"/>
          <w:numId w:val="2"/>
        </w:numPr>
        <w:spacing w:before="250" w:line="254" w:lineRule="exact"/>
        <w:ind w:left="576" w:right="504" w:hanging="576"/>
        <w:jc w:val="both"/>
        <w:textAlignment w:val="baseline"/>
        <w:rPr>
          <w:rFonts w:ascii="Arial" w:eastAsia="Arial" w:hAnsi="Arial"/>
          <w:spacing w:val="1"/>
          <w:lang w:val="es-ES"/>
        </w:rPr>
      </w:pPr>
      <w:r w:rsidRPr="00B82006">
        <w:rPr>
          <w:rFonts w:ascii="Arial" w:eastAsia="Arial" w:hAnsi="Arial"/>
          <w:spacing w:val="1"/>
          <w:lang w:val="es-ES"/>
        </w:rPr>
        <w:t xml:space="preserve">Las partes se reconocen mutuamente capacidad para la firma de este </w:t>
      </w:r>
      <w:r w:rsidR="007911B2" w:rsidRPr="00B82006">
        <w:rPr>
          <w:rFonts w:ascii="Arial" w:eastAsia="Arial" w:hAnsi="Arial"/>
          <w:spacing w:val="1"/>
          <w:lang w:val="es-ES"/>
        </w:rPr>
        <w:t>C</w:t>
      </w:r>
      <w:r w:rsidRPr="00B82006">
        <w:rPr>
          <w:rFonts w:ascii="Arial" w:eastAsia="Arial" w:hAnsi="Arial"/>
          <w:spacing w:val="1"/>
          <w:lang w:val="es-ES"/>
        </w:rPr>
        <w:t xml:space="preserve">onvenio de </w:t>
      </w:r>
      <w:r w:rsidR="00910DAD" w:rsidRPr="00B82006">
        <w:rPr>
          <w:rFonts w:ascii="Arial" w:eastAsia="Arial" w:hAnsi="Arial"/>
          <w:spacing w:val="1"/>
          <w:lang w:val="es-ES"/>
        </w:rPr>
        <w:t xml:space="preserve">enlace entre </w:t>
      </w:r>
      <w:r w:rsidR="00AC2F46">
        <w:rPr>
          <w:rFonts w:ascii="Arial" w:eastAsia="Arial" w:hAnsi="Arial"/>
          <w:spacing w:val="1"/>
          <w:lang w:val="es-ES"/>
        </w:rPr>
        <w:t>IBERCLEAR</w:t>
      </w:r>
      <w:r w:rsidRPr="00B82006">
        <w:rPr>
          <w:rFonts w:ascii="Arial" w:eastAsia="Arial" w:hAnsi="Arial"/>
          <w:spacing w:val="1"/>
          <w:lang w:val="es-ES"/>
        </w:rPr>
        <w:t xml:space="preserve"> </w:t>
      </w:r>
      <w:r w:rsidR="00910DAD" w:rsidRPr="00B82006">
        <w:rPr>
          <w:rFonts w:ascii="Arial" w:eastAsia="Arial" w:hAnsi="Arial"/>
          <w:spacing w:val="1"/>
          <w:lang w:val="es-ES"/>
        </w:rPr>
        <w:t>y</w:t>
      </w:r>
      <w:r w:rsidR="00FA516B">
        <w:rPr>
          <w:rFonts w:ascii="Arial" w:eastAsia="Arial" w:hAnsi="Arial"/>
          <w:spacing w:val="1"/>
          <w:lang w:val="es-ES"/>
        </w:rPr>
        <w:t xml:space="preserve"> </w:t>
      </w:r>
      <w:sdt>
        <w:sdtPr>
          <w:rPr>
            <w:rFonts w:ascii="Arial" w:eastAsia="Arial" w:hAnsi="Arial"/>
            <w:spacing w:val="1"/>
            <w:lang w:val="es-ES"/>
          </w:rPr>
          <w:id w:val="1783990895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spacing w:val="1"/>
              <w:lang w:val="es-ES"/>
            </w:rPr>
            <w:t>XXXXX</w:t>
          </w:r>
        </w:sdtContent>
      </w:sdt>
      <w:r w:rsidRPr="00B82006">
        <w:rPr>
          <w:rFonts w:ascii="Arial" w:eastAsia="Arial" w:hAnsi="Arial"/>
          <w:spacing w:val="1"/>
          <w:lang w:val="es-ES"/>
        </w:rPr>
        <w:t>, y para quedar vinculados por sus términos.</w:t>
      </w:r>
    </w:p>
    <w:p w14:paraId="10AAEF95" w14:textId="77777777" w:rsidR="00843C37" w:rsidRPr="00B82006" w:rsidRDefault="00843C37" w:rsidP="00843C37">
      <w:pPr>
        <w:ind w:left="6647" w:right="418"/>
        <w:textAlignment w:val="baseline"/>
        <w:rPr>
          <w:lang w:val="es-ES"/>
        </w:rPr>
      </w:pPr>
    </w:p>
    <w:p w14:paraId="10AAEF96" w14:textId="77777777" w:rsidR="00843C37" w:rsidRPr="00B82006" w:rsidRDefault="00843C37" w:rsidP="00843C37">
      <w:pPr>
        <w:rPr>
          <w:lang w:val="es-ES"/>
        </w:rPr>
        <w:sectPr w:rsidR="00843C37" w:rsidRPr="00B82006">
          <w:pgSz w:w="11909" w:h="16838"/>
          <w:pgMar w:top="1260" w:right="989" w:bottom="914" w:left="1700" w:header="720" w:footer="720" w:gutter="0"/>
          <w:cols w:space="720"/>
        </w:sectPr>
      </w:pPr>
    </w:p>
    <w:p w14:paraId="10AAEF97" w14:textId="77777777" w:rsidR="00843C37" w:rsidRPr="00B82006" w:rsidRDefault="00843C37" w:rsidP="00843C37">
      <w:pPr>
        <w:spacing w:before="7" w:after="420"/>
        <w:ind w:left="107" w:right="6051"/>
        <w:textAlignment w:val="baseline"/>
        <w:rPr>
          <w:lang w:val="es-ES"/>
        </w:rPr>
      </w:pPr>
    </w:p>
    <w:p w14:paraId="10AAEF98" w14:textId="77777777" w:rsidR="00843C37" w:rsidRPr="00B82006" w:rsidRDefault="00843C37" w:rsidP="00843C37">
      <w:pPr>
        <w:spacing w:before="1" w:line="253" w:lineRule="exact"/>
        <w:textAlignment w:val="baseline"/>
        <w:rPr>
          <w:rFonts w:ascii="Arial" w:eastAsia="Arial" w:hAnsi="Arial"/>
          <w:spacing w:val="1"/>
          <w:lang w:val="es-ES"/>
        </w:rPr>
      </w:pPr>
      <w:r w:rsidRPr="00B82006">
        <w:rPr>
          <w:rFonts w:ascii="Arial" w:eastAsia="Arial" w:hAnsi="Arial"/>
          <w:spacing w:val="1"/>
          <w:lang w:val="es-ES"/>
        </w:rPr>
        <w:t>I. ACUERDAN:</w:t>
      </w:r>
    </w:p>
    <w:p w14:paraId="10AAEF99" w14:textId="77777777" w:rsidR="00843C37" w:rsidRPr="00B82006" w:rsidRDefault="00843C37" w:rsidP="00843C37">
      <w:pPr>
        <w:spacing w:before="257" w:line="251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1: Selección de valores</w:t>
      </w:r>
    </w:p>
    <w:p w14:paraId="10AAEF9A" w14:textId="77777777" w:rsidR="00843C37" w:rsidRPr="00B82006" w:rsidRDefault="00843C37" w:rsidP="00843C37">
      <w:pPr>
        <w:spacing w:before="253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Todos los valores </w:t>
      </w:r>
      <w:r w:rsidR="00AC2F46">
        <w:rPr>
          <w:rFonts w:ascii="Arial" w:eastAsia="Arial" w:hAnsi="Arial"/>
          <w:lang w:val="es-ES"/>
        </w:rPr>
        <w:t xml:space="preserve">incluidos en el </w:t>
      </w:r>
      <w:r w:rsidR="007C603E" w:rsidRPr="00B82006">
        <w:rPr>
          <w:rFonts w:ascii="Arial" w:eastAsia="Arial" w:hAnsi="Arial"/>
          <w:lang w:val="es-ES"/>
        </w:rPr>
        <w:t>Sistema de Liquidación</w:t>
      </w:r>
      <w:r w:rsidR="008069D4" w:rsidRPr="00B82006">
        <w:rPr>
          <w:rFonts w:ascii="Arial" w:eastAsia="Arial" w:hAnsi="Arial"/>
          <w:lang w:val="es-ES"/>
        </w:rPr>
        <w:t xml:space="preserve"> </w:t>
      </w:r>
      <w:r w:rsidR="007C603E" w:rsidRPr="00B82006">
        <w:rPr>
          <w:rFonts w:ascii="Arial" w:eastAsia="Arial" w:hAnsi="Arial"/>
          <w:lang w:val="es-ES"/>
        </w:rPr>
        <w:t xml:space="preserve">ARCO </w:t>
      </w:r>
      <w:r w:rsidRPr="00B82006">
        <w:rPr>
          <w:rFonts w:ascii="Arial" w:eastAsia="Arial" w:hAnsi="Arial"/>
          <w:lang w:val="es-ES"/>
        </w:rPr>
        <w:t xml:space="preserve">son susceptibles de ser incluidos en el ámbito del presente </w:t>
      </w:r>
      <w:r w:rsidR="007911B2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>onvenio</w:t>
      </w:r>
      <w:r w:rsidR="007C603E" w:rsidRPr="00B82006">
        <w:rPr>
          <w:rFonts w:ascii="Arial" w:eastAsia="Arial" w:hAnsi="Arial"/>
          <w:lang w:val="es-ES"/>
        </w:rPr>
        <w:t>,</w:t>
      </w:r>
      <w:r w:rsidRPr="00B82006">
        <w:rPr>
          <w:rFonts w:ascii="Arial" w:eastAsia="Arial" w:hAnsi="Arial"/>
          <w:lang w:val="es-ES"/>
        </w:rPr>
        <w:t xml:space="preserve"> de acuerdo con los términos especificados en la Sección Operativa. </w:t>
      </w:r>
      <w:r w:rsidR="00FF299F" w:rsidRPr="00B82006">
        <w:rPr>
          <w:rFonts w:ascii="Arial" w:eastAsia="Arial" w:hAnsi="Arial"/>
          <w:lang w:val="es-ES"/>
        </w:rPr>
        <w:t>En dicha Sección las partes acordarán, en</w:t>
      </w:r>
      <w:r w:rsidR="00910DAD" w:rsidRPr="00B82006">
        <w:rPr>
          <w:rFonts w:ascii="Arial" w:eastAsia="Arial" w:hAnsi="Arial"/>
          <w:lang w:val="es-ES"/>
        </w:rPr>
        <w:t xml:space="preserve"> su caso, </w:t>
      </w:r>
      <w:r w:rsidR="00FF299F" w:rsidRPr="00B82006">
        <w:rPr>
          <w:rFonts w:ascii="Arial" w:eastAsia="Arial" w:hAnsi="Arial"/>
          <w:lang w:val="es-ES"/>
        </w:rPr>
        <w:t xml:space="preserve">las </w:t>
      </w:r>
      <w:r w:rsidR="007911B2" w:rsidRPr="00B82006">
        <w:rPr>
          <w:rFonts w:ascii="Arial" w:eastAsia="Arial" w:hAnsi="Arial"/>
          <w:lang w:val="es-ES"/>
        </w:rPr>
        <w:t xml:space="preserve">particularidades aplicables </w:t>
      </w:r>
      <w:r w:rsidR="00FF299F" w:rsidRPr="00B82006">
        <w:rPr>
          <w:rFonts w:ascii="Arial" w:eastAsia="Arial" w:hAnsi="Arial"/>
          <w:lang w:val="es-ES"/>
        </w:rPr>
        <w:t>a las categorías de valores su</w:t>
      </w:r>
      <w:r w:rsidR="00974251" w:rsidRPr="00B82006">
        <w:rPr>
          <w:rFonts w:ascii="Arial" w:eastAsia="Arial" w:hAnsi="Arial"/>
          <w:lang w:val="es-ES"/>
        </w:rPr>
        <w:t>s</w:t>
      </w:r>
      <w:r w:rsidR="00FF299F" w:rsidRPr="00B82006">
        <w:rPr>
          <w:rFonts w:ascii="Arial" w:eastAsia="Arial" w:hAnsi="Arial"/>
          <w:lang w:val="es-ES"/>
        </w:rPr>
        <w:t>ceptibles de inclusión.</w:t>
      </w:r>
    </w:p>
    <w:p w14:paraId="10AAEF9B" w14:textId="77777777" w:rsidR="00843C37" w:rsidRPr="00B82006" w:rsidRDefault="00843C37" w:rsidP="00843C37">
      <w:pPr>
        <w:spacing w:before="252" w:line="251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2: Cuentas de valores</w:t>
      </w:r>
    </w:p>
    <w:p w14:paraId="10AAEF9C" w14:textId="72E17571" w:rsidR="00FF299F" w:rsidRPr="00B82006" w:rsidRDefault="00344C46" w:rsidP="00843C37">
      <w:pPr>
        <w:spacing w:before="255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-1664700817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FF299F" w:rsidRPr="00B82006">
        <w:rPr>
          <w:rFonts w:ascii="Arial" w:eastAsia="Arial" w:hAnsi="Arial"/>
          <w:lang w:val="es-ES"/>
        </w:rPr>
        <w:t xml:space="preserve"> participará en el Sistema de Liquidación ARCO y accederá a los </w:t>
      </w:r>
      <w:r w:rsidR="007911B2" w:rsidRPr="00B82006">
        <w:rPr>
          <w:rFonts w:ascii="Arial" w:eastAsia="Arial" w:hAnsi="Arial"/>
          <w:lang w:val="es-ES"/>
        </w:rPr>
        <w:t>s</w:t>
      </w:r>
      <w:r w:rsidR="00FF299F" w:rsidRPr="00B82006">
        <w:rPr>
          <w:rFonts w:ascii="Arial" w:eastAsia="Arial" w:hAnsi="Arial"/>
          <w:lang w:val="es-ES"/>
        </w:rPr>
        <w:t xml:space="preserve">ervicios acordados en el presente Convenio mediante la apertura de una o varias cuentas de valores. </w:t>
      </w:r>
    </w:p>
    <w:p w14:paraId="10AAEF9D" w14:textId="69FEF9B7" w:rsidR="00843C37" w:rsidRPr="00B82006" w:rsidRDefault="00AC2F46" w:rsidP="00843C37">
      <w:pPr>
        <w:spacing w:before="255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 xml:space="preserve"> abrirá en </w:t>
      </w:r>
      <w:r w:rsidR="007C603E" w:rsidRPr="00B82006">
        <w:rPr>
          <w:rFonts w:ascii="Arial" w:eastAsia="Arial" w:hAnsi="Arial"/>
          <w:lang w:val="es-ES"/>
        </w:rPr>
        <w:t>el</w:t>
      </w:r>
      <w:r w:rsidR="00FA516B">
        <w:rPr>
          <w:rFonts w:ascii="Arial" w:eastAsia="Arial" w:hAnsi="Arial"/>
          <w:lang w:val="es-ES"/>
        </w:rPr>
        <w:t xml:space="preserve"> Registro Central, a nombre de </w:t>
      </w:r>
      <w:sdt>
        <w:sdtPr>
          <w:rPr>
            <w:rFonts w:ascii="Arial" w:eastAsia="Arial" w:hAnsi="Arial"/>
            <w:lang w:val="es-ES"/>
          </w:rPr>
          <w:id w:val="-344167904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7C603E" w:rsidRPr="00B82006">
        <w:rPr>
          <w:rFonts w:ascii="Arial" w:eastAsia="Arial" w:hAnsi="Arial"/>
          <w:lang w:val="es-ES"/>
        </w:rPr>
        <w:t>, el número de</w:t>
      </w:r>
      <w:r w:rsidR="0080315C" w:rsidRPr="00B82006">
        <w:rPr>
          <w:rFonts w:ascii="Arial" w:eastAsia="Arial" w:hAnsi="Arial"/>
          <w:lang w:val="es-ES"/>
        </w:rPr>
        <w:t xml:space="preserve"> </w:t>
      </w:r>
      <w:r w:rsidR="00843C37" w:rsidRPr="00B82006">
        <w:rPr>
          <w:rFonts w:ascii="Arial" w:eastAsia="Arial" w:hAnsi="Arial"/>
          <w:lang w:val="es-ES"/>
        </w:rPr>
        <w:t>cuenta</w:t>
      </w:r>
      <w:r w:rsidR="0080315C" w:rsidRPr="00B82006">
        <w:rPr>
          <w:rFonts w:ascii="Arial" w:eastAsia="Arial" w:hAnsi="Arial"/>
          <w:lang w:val="es-ES"/>
        </w:rPr>
        <w:t>s</w:t>
      </w:r>
      <w:r w:rsidR="00843C37" w:rsidRPr="00B82006">
        <w:rPr>
          <w:rFonts w:ascii="Arial" w:eastAsia="Arial" w:hAnsi="Arial"/>
          <w:lang w:val="es-ES"/>
        </w:rPr>
        <w:t xml:space="preserve"> de valores</w:t>
      </w:r>
      <w:r w:rsidR="007C603E" w:rsidRPr="00B82006">
        <w:rPr>
          <w:rFonts w:ascii="Arial" w:eastAsia="Arial" w:hAnsi="Arial"/>
          <w:lang w:val="es-ES"/>
        </w:rPr>
        <w:t xml:space="preserve"> que se detallan en la Sección Operativa y reflejará</w:t>
      </w:r>
      <w:r w:rsidR="0080315C" w:rsidRPr="00B82006">
        <w:rPr>
          <w:rFonts w:ascii="Arial" w:eastAsia="Arial" w:hAnsi="Arial"/>
          <w:lang w:val="es-ES"/>
        </w:rPr>
        <w:t>n</w:t>
      </w:r>
      <w:r w:rsidR="00843C37" w:rsidRPr="00B82006">
        <w:rPr>
          <w:rFonts w:ascii="Arial" w:eastAsia="Arial" w:hAnsi="Arial"/>
          <w:lang w:val="es-ES"/>
        </w:rPr>
        <w:t xml:space="preserve"> los saldos que éste tenga registrados en el </w:t>
      </w:r>
      <w:r w:rsidR="007911B2" w:rsidRPr="00B82006">
        <w:rPr>
          <w:rFonts w:ascii="Arial" w:eastAsia="Arial" w:hAnsi="Arial"/>
          <w:lang w:val="es-ES"/>
        </w:rPr>
        <w:t>S</w:t>
      </w:r>
      <w:r w:rsidR="00843C37" w:rsidRPr="00B82006">
        <w:rPr>
          <w:rFonts w:ascii="Arial" w:eastAsia="Arial" w:hAnsi="Arial"/>
          <w:lang w:val="es-ES"/>
        </w:rPr>
        <w:t xml:space="preserve">istema </w:t>
      </w:r>
      <w:r w:rsidR="007911B2" w:rsidRPr="00B82006">
        <w:rPr>
          <w:rFonts w:ascii="Arial" w:eastAsia="Arial" w:hAnsi="Arial"/>
          <w:lang w:val="es-ES"/>
        </w:rPr>
        <w:t>de Liquidación ARCO</w:t>
      </w:r>
      <w:r w:rsidR="00843C37" w:rsidRPr="00B82006">
        <w:rPr>
          <w:rFonts w:ascii="Arial" w:eastAsia="Arial" w:hAnsi="Arial"/>
          <w:lang w:val="es-ES"/>
        </w:rPr>
        <w:t xml:space="preserve"> para cada código de valor. No se permitirán saldos deudores en </w:t>
      </w:r>
      <w:r w:rsidR="0080315C" w:rsidRPr="00B82006">
        <w:rPr>
          <w:rFonts w:ascii="Arial" w:eastAsia="Arial" w:hAnsi="Arial"/>
          <w:lang w:val="es-ES"/>
        </w:rPr>
        <w:t>dichas</w:t>
      </w:r>
      <w:r w:rsidR="00843C37" w:rsidRPr="00B82006">
        <w:rPr>
          <w:rFonts w:ascii="Arial" w:eastAsia="Arial" w:hAnsi="Arial"/>
          <w:lang w:val="es-ES"/>
        </w:rPr>
        <w:t xml:space="preserve"> cuenta</w:t>
      </w:r>
      <w:r w:rsidR="0080315C" w:rsidRPr="00B82006">
        <w:rPr>
          <w:rFonts w:ascii="Arial" w:eastAsia="Arial" w:hAnsi="Arial"/>
          <w:lang w:val="es-ES"/>
        </w:rPr>
        <w:t>s</w:t>
      </w:r>
      <w:r w:rsidR="00843C37" w:rsidRPr="00B82006">
        <w:rPr>
          <w:rFonts w:ascii="Arial" w:eastAsia="Arial" w:hAnsi="Arial"/>
          <w:lang w:val="es-ES"/>
        </w:rPr>
        <w:t xml:space="preserve"> de valores.</w:t>
      </w:r>
    </w:p>
    <w:p w14:paraId="10AAEF9E" w14:textId="60E12AD6" w:rsidR="00843C37" w:rsidRPr="00B82006" w:rsidRDefault="00FF299F" w:rsidP="00843C37">
      <w:pPr>
        <w:spacing w:before="253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Los saldos valores mantenidos en dichas cuentas, así como las operaciones que se liquiden sobre las mismas están sujetos a las normas y disposiciones que regulan el Sistema de Liquidación ARCO</w:t>
      </w:r>
      <w:r w:rsidR="00986B0A" w:rsidRPr="00B82006">
        <w:rPr>
          <w:rFonts w:ascii="Arial" w:eastAsia="Arial" w:hAnsi="Arial"/>
          <w:lang w:val="es-ES"/>
        </w:rPr>
        <w:t xml:space="preserve"> referidas en el Artículo 8 del presente Convenio</w:t>
      </w:r>
      <w:r w:rsidRPr="00B82006">
        <w:rPr>
          <w:rFonts w:ascii="Arial" w:eastAsia="Arial" w:hAnsi="Arial"/>
          <w:lang w:val="es-ES"/>
        </w:rPr>
        <w:t xml:space="preserve">. Entre dichas normas se encuentran las reglas establecidas en el Reglamento de </w:t>
      </w:r>
      <w:r w:rsidR="00AC2F46">
        <w:rPr>
          <w:rFonts w:ascii="Arial" w:eastAsia="Arial" w:hAnsi="Arial"/>
          <w:lang w:val="es-ES"/>
        </w:rPr>
        <w:t>IBERCLEAR</w:t>
      </w:r>
      <w:r w:rsidRPr="00B82006">
        <w:rPr>
          <w:rFonts w:ascii="Arial" w:eastAsia="Arial" w:hAnsi="Arial"/>
          <w:lang w:val="es-ES"/>
        </w:rPr>
        <w:t xml:space="preserve"> para la determinación del momento de aceptación e irrevocabilidad de las órdenes de transferencia de valores y efectivos.</w:t>
      </w:r>
      <w:r w:rsidR="006F067D" w:rsidRPr="00B82006">
        <w:rPr>
          <w:rFonts w:ascii="Arial" w:eastAsia="Arial" w:hAnsi="Arial"/>
          <w:lang w:val="es-ES"/>
        </w:rPr>
        <w:t xml:space="preserve"> </w:t>
      </w:r>
      <w:r w:rsidR="00AC2F46">
        <w:rPr>
          <w:rFonts w:ascii="Arial" w:eastAsia="Arial" w:hAnsi="Arial"/>
          <w:lang w:val="es-ES"/>
        </w:rPr>
        <w:t>IBERCLEAR</w:t>
      </w:r>
      <w:r w:rsidR="00FA516B">
        <w:rPr>
          <w:rFonts w:ascii="Arial" w:eastAsia="Arial" w:hAnsi="Arial"/>
          <w:lang w:val="es-ES"/>
        </w:rPr>
        <w:t xml:space="preserve"> comunicará a </w:t>
      </w:r>
      <w:sdt>
        <w:sdtPr>
          <w:rPr>
            <w:rFonts w:ascii="Arial" w:eastAsia="Arial" w:hAnsi="Arial"/>
            <w:lang w:val="es-ES"/>
          </w:rPr>
          <w:id w:val="1919587809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6F067D" w:rsidRPr="00B82006">
        <w:rPr>
          <w:rFonts w:ascii="Arial" w:eastAsia="Arial" w:hAnsi="Arial"/>
          <w:lang w:val="es-ES"/>
        </w:rPr>
        <w:t xml:space="preserve"> aquellos casos en los </w:t>
      </w:r>
      <w:proofErr w:type="gramStart"/>
      <w:r w:rsidR="006F067D" w:rsidRPr="00B82006">
        <w:rPr>
          <w:rFonts w:ascii="Arial" w:eastAsia="Arial" w:hAnsi="Arial"/>
          <w:lang w:val="es-ES"/>
        </w:rPr>
        <w:t>que</w:t>
      </w:r>
      <w:proofErr w:type="gramEnd"/>
      <w:r w:rsidR="006F067D" w:rsidRPr="00B82006">
        <w:rPr>
          <w:rFonts w:ascii="Arial" w:eastAsia="Arial" w:hAnsi="Arial"/>
          <w:lang w:val="es-ES"/>
        </w:rPr>
        <w:t xml:space="preserve"> por concurrir legislaciones diferentes de la española, no resulten de aplicación exclusiva las normas anteriormente mencionadas. </w:t>
      </w:r>
    </w:p>
    <w:p w14:paraId="10AAEF9F" w14:textId="692CC467" w:rsidR="00843C37" w:rsidRPr="00B82006" w:rsidRDefault="00AC2F46" w:rsidP="00843C3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 xml:space="preserve"> no registrará prenda</w:t>
      </w:r>
      <w:r w:rsidR="00FF299F" w:rsidRPr="00B82006">
        <w:rPr>
          <w:rFonts w:ascii="Arial" w:eastAsia="Arial" w:hAnsi="Arial"/>
          <w:lang w:val="es-ES"/>
        </w:rPr>
        <w:t>, garantía</w:t>
      </w:r>
      <w:r w:rsidR="00843C37" w:rsidRPr="00B82006">
        <w:rPr>
          <w:rFonts w:ascii="Arial" w:eastAsia="Arial" w:hAnsi="Arial"/>
          <w:lang w:val="es-ES"/>
        </w:rPr>
        <w:t xml:space="preserve"> o derecho de retención</w:t>
      </w:r>
      <w:r w:rsidR="00FF299F" w:rsidRPr="00B82006">
        <w:rPr>
          <w:rFonts w:ascii="Arial" w:eastAsia="Arial" w:hAnsi="Arial"/>
          <w:lang w:val="es-ES"/>
        </w:rPr>
        <w:t xml:space="preserve"> pactado contractualmente</w:t>
      </w:r>
      <w:r w:rsidR="00843C37" w:rsidRPr="00B82006">
        <w:rPr>
          <w:rFonts w:ascii="Arial" w:eastAsia="Arial" w:hAnsi="Arial"/>
          <w:lang w:val="es-ES"/>
        </w:rPr>
        <w:t xml:space="preserve"> sobre los valores registr</w:t>
      </w:r>
      <w:r w:rsidR="00FA516B">
        <w:rPr>
          <w:rFonts w:ascii="Arial" w:eastAsia="Arial" w:hAnsi="Arial"/>
          <w:lang w:val="es-ES"/>
        </w:rPr>
        <w:t xml:space="preserve">ados en su sistema a nombre de </w:t>
      </w:r>
      <w:sdt>
        <w:sdtPr>
          <w:rPr>
            <w:rFonts w:ascii="Arial" w:eastAsia="Arial" w:hAnsi="Arial"/>
            <w:lang w:val="es-ES"/>
          </w:rPr>
          <w:id w:val="1351600743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FF299F" w:rsidRPr="00B82006">
        <w:rPr>
          <w:rFonts w:ascii="Arial" w:eastAsia="Arial" w:hAnsi="Arial"/>
          <w:lang w:val="es-ES"/>
        </w:rPr>
        <w:t>. En caso de recibir una orden judicial o administrativa que le obligue a anotar embargos o retencion</w:t>
      </w:r>
      <w:r w:rsidR="00FA516B">
        <w:rPr>
          <w:rFonts w:ascii="Arial" w:eastAsia="Arial" w:hAnsi="Arial"/>
          <w:lang w:val="es-ES"/>
        </w:rPr>
        <w:t xml:space="preserve">es, informará inmediatamente a </w:t>
      </w:r>
      <w:sdt>
        <w:sdtPr>
          <w:rPr>
            <w:rFonts w:ascii="Arial" w:eastAsia="Arial" w:hAnsi="Arial"/>
            <w:lang w:val="es-ES"/>
          </w:rPr>
          <w:id w:val="-353497627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>.</w:t>
      </w:r>
    </w:p>
    <w:p w14:paraId="10AAEFA0" w14:textId="77777777" w:rsidR="00843C37" w:rsidRPr="00B82006" w:rsidRDefault="00843C37" w:rsidP="00843C37">
      <w:pPr>
        <w:spacing w:before="252" w:line="251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3: Cuentas de efectivo</w:t>
      </w:r>
    </w:p>
    <w:p w14:paraId="10AAEFA1" w14:textId="353117FB" w:rsidR="00FF299F" w:rsidRPr="00B82006" w:rsidRDefault="00344C46" w:rsidP="00023A5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-2092994107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023A57" w:rsidRPr="00B82006">
        <w:rPr>
          <w:rFonts w:ascii="Arial" w:eastAsia="Arial" w:hAnsi="Arial"/>
          <w:lang w:val="es-ES"/>
        </w:rPr>
        <w:t xml:space="preserve"> deberá contar, en todo momento, con al menos una cuenta dedicada de efectivo en TARGET2-Banco de España o en otro Banco Central perteneciente al Sistema de Bancos Centrales Europeos, vinculada a cada una de las cuentas de valores abiertas en e</w:t>
      </w:r>
      <w:r w:rsidR="00FA516B">
        <w:rPr>
          <w:rFonts w:ascii="Arial" w:eastAsia="Arial" w:hAnsi="Arial"/>
          <w:lang w:val="es-ES"/>
        </w:rPr>
        <w:t xml:space="preserve">l Registro Central a nombre de </w:t>
      </w:r>
      <w:sdt>
        <w:sdtPr>
          <w:rPr>
            <w:rFonts w:ascii="Arial" w:eastAsia="Arial" w:hAnsi="Arial"/>
            <w:lang w:val="es-ES"/>
          </w:rPr>
          <w:id w:val="1860389226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FF299F" w:rsidRPr="00B82006">
        <w:rPr>
          <w:rFonts w:ascii="Arial" w:eastAsia="Arial" w:hAnsi="Arial"/>
          <w:lang w:val="es-ES"/>
        </w:rPr>
        <w:t>.</w:t>
      </w:r>
      <w:r w:rsidR="0035578B" w:rsidRPr="00B82006">
        <w:rPr>
          <w:rFonts w:ascii="Arial" w:eastAsia="Arial" w:hAnsi="Arial"/>
          <w:lang w:val="es-ES"/>
        </w:rPr>
        <w:t xml:space="preserve"> </w:t>
      </w:r>
      <w:r w:rsidR="00CF37B7" w:rsidRPr="00B82006">
        <w:rPr>
          <w:rFonts w:ascii="Arial" w:eastAsia="Arial" w:hAnsi="Arial"/>
          <w:lang w:val="es-ES"/>
        </w:rPr>
        <w:t>En la Sección Operativa se identifican dichas cuentas dedicadas de efectivo y se detalla su vinculación a las cuentas de valores.</w:t>
      </w:r>
    </w:p>
    <w:p w14:paraId="10AAEFA2" w14:textId="6200C826" w:rsidR="00023A57" w:rsidRPr="00B82006" w:rsidRDefault="00344C46" w:rsidP="00023A5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-1508514388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FF299F" w:rsidRPr="00B82006">
        <w:rPr>
          <w:rFonts w:ascii="Arial" w:eastAsia="Arial" w:hAnsi="Arial"/>
          <w:lang w:val="es-ES"/>
        </w:rPr>
        <w:t xml:space="preserve"> </w:t>
      </w:r>
      <w:r w:rsidR="00023A57" w:rsidRPr="00B82006">
        <w:rPr>
          <w:rFonts w:ascii="Arial" w:eastAsia="Arial" w:hAnsi="Arial"/>
          <w:lang w:val="es-ES"/>
        </w:rPr>
        <w:t xml:space="preserve">autoriza a </w:t>
      </w:r>
      <w:r w:rsidR="00AC2F46">
        <w:rPr>
          <w:rFonts w:ascii="Arial" w:eastAsia="Arial" w:hAnsi="Arial"/>
          <w:lang w:val="es-ES"/>
        </w:rPr>
        <w:t>IBERCLEAR</w:t>
      </w:r>
      <w:r w:rsidR="00023A57" w:rsidRPr="00B82006">
        <w:rPr>
          <w:rFonts w:ascii="Arial" w:eastAsia="Arial" w:hAnsi="Arial"/>
          <w:lang w:val="es-ES"/>
        </w:rPr>
        <w:t xml:space="preserve"> a ordenar sobre </w:t>
      </w:r>
      <w:r w:rsidR="00CF37B7" w:rsidRPr="00B82006">
        <w:rPr>
          <w:rFonts w:ascii="Arial" w:eastAsia="Arial" w:hAnsi="Arial"/>
          <w:lang w:val="es-ES"/>
        </w:rPr>
        <w:t>la</w:t>
      </w:r>
      <w:r w:rsidR="00AC2F46">
        <w:rPr>
          <w:rFonts w:ascii="Arial" w:eastAsia="Arial" w:hAnsi="Arial"/>
          <w:lang w:val="es-ES"/>
        </w:rPr>
        <w:t>s cuentas dedicadas de efectivo</w:t>
      </w:r>
      <w:r w:rsidR="00023A57" w:rsidRPr="00B82006">
        <w:rPr>
          <w:rFonts w:ascii="Arial" w:eastAsia="Arial" w:hAnsi="Arial"/>
          <w:lang w:val="es-ES"/>
        </w:rPr>
        <w:t xml:space="preserve"> los abonos y cargos de las cantidades que resulten de acuerdo con los procedimientos generales de </w:t>
      </w:r>
      <w:r w:rsidR="00AC2F46">
        <w:rPr>
          <w:rFonts w:ascii="Arial" w:eastAsia="Arial" w:hAnsi="Arial"/>
          <w:lang w:val="es-ES"/>
        </w:rPr>
        <w:t>IBERCLEAR</w:t>
      </w:r>
      <w:r w:rsidR="00023A57" w:rsidRPr="00B82006">
        <w:rPr>
          <w:rFonts w:ascii="Arial" w:eastAsia="Arial" w:hAnsi="Arial"/>
          <w:lang w:val="es-ES"/>
        </w:rPr>
        <w:t xml:space="preserve"> para la liquidación de las operaciones comunicadas</w:t>
      </w:r>
      <w:r w:rsidR="00207725" w:rsidRPr="00B82006">
        <w:rPr>
          <w:rFonts w:ascii="Arial" w:eastAsia="Arial" w:hAnsi="Arial"/>
          <w:lang w:val="es-ES"/>
        </w:rPr>
        <w:t xml:space="preserve"> y de las</w:t>
      </w:r>
      <w:r w:rsidR="00023A57" w:rsidRPr="00B82006">
        <w:rPr>
          <w:rFonts w:ascii="Arial" w:eastAsia="Arial" w:hAnsi="Arial"/>
          <w:lang w:val="es-ES"/>
        </w:rPr>
        <w:t xml:space="preserve"> operaciones financieras </w:t>
      </w:r>
      <w:r w:rsidR="00207725" w:rsidRPr="00B82006">
        <w:rPr>
          <w:rFonts w:ascii="Arial" w:eastAsia="Arial" w:hAnsi="Arial"/>
          <w:lang w:val="es-ES"/>
        </w:rPr>
        <w:t>sobre los valores</w:t>
      </w:r>
      <w:r w:rsidR="00023A57" w:rsidRPr="00B82006">
        <w:rPr>
          <w:rFonts w:ascii="Arial" w:eastAsia="Arial" w:hAnsi="Arial"/>
          <w:lang w:val="es-ES"/>
        </w:rPr>
        <w:t>.</w:t>
      </w:r>
    </w:p>
    <w:p w14:paraId="10AAEFA3" w14:textId="77777777" w:rsidR="00023A57" w:rsidRPr="00B82006" w:rsidRDefault="00023A57" w:rsidP="00023A5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</w:p>
    <w:p w14:paraId="10AAEFA4" w14:textId="77777777" w:rsidR="00843C37" w:rsidRPr="00B82006" w:rsidRDefault="00843C37" w:rsidP="00843C37">
      <w:pPr>
        <w:spacing w:before="257" w:line="251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lastRenderedPageBreak/>
        <w:t>Artículo 4: Servicios</w:t>
      </w:r>
    </w:p>
    <w:p w14:paraId="10AAEFA5" w14:textId="03D25D0E" w:rsidR="00843C37" w:rsidRPr="00B82006" w:rsidRDefault="00AC2F46" w:rsidP="00843C3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IBERCLEAR</w:t>
      </w:r>
      <w:r w:rsidR="00FA516B">
        <w:rPr>
          <w:rFonts w:ascii="Arial" w:eastAsia="Arial" w:hAnsi="Arial"/>
          <w:lang w:val="es-ES"/>
        </w:rPr>
        <w:t xml:space="preserve"> prestará a </w:t>
      </w:r>
      <w:sdt>
        <w:sdtPr>
          <w:rPr>
            <w:rFonts w:ascii="Arial" w:eastAsia="Arial" w:hAnsi="Arial"/>
            <w:lang w:val="es-ES"/>
          </w:rPr>
          <w:id w:val="1888527734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</w:t>
      </w:r>
      <w:r w:rsidR="00207725" w:rsidRPr="00B82006">
        <w:rPr>
          <w:rFonts w:ascii="Arial" w:eastAsia="Arial" w:hAnsi="Arial"/>
          <w:lang w:val="es-ES"/>
        </w:rPr>
        <w:t>los servicios de registro de valores y liquidación</w:t>
      </w:r>
      <w:r w:rsidR="00023A57" w:rsidRPr="00B82006">
        <w:rPr>
          <w:rFonts w:ascii="Arial" w:eastAsia="Arial" w:hAnsi="Arial"/>
          <w:lang w:val="es-ES"/>
        </w:rPr>
        <w:t xml:space="preserve"> conforme a </w:t>
      </w:r>
      <w:r w:rsidR="00342A70" w:rsidRPr="00B82006">
        <w:rPr>
          <w:rFonts w:ascii="Arial" w:eastAsia="Arial" w:hAnsi="Arial"/>
          <w:lang w:val="es-ES"/>
        </w:rPr>
        <w:t xml:space="preserve">las normas y procedimientos que se indican en el Artículo 8. </w:t>
      </w:r>
      <w:r w:rsidR="00207725" w:rsidRPr="00B82006">
        <w:rPr>
          <w:rFonts w:ascii="Arial" w:eastAsia="Arial" w:hAnsi="Arial"/>
          <w:lang w:val="es-ES"/>
        </w:rPr>
        <w:t xml:space="preserve">La prestación de otros servicios técnicos y operativos previstos en el Título VIII del Reglamento de </w:t>
      </w:r>
      <w:r>
        <w:rPr>
          <w:rFonts w:ascii="Arial" w:eastAsia="Arial" w:hAnsi="Arial"/>
          <w:lang w:val="es-ES"/>
        </w:rPr>
        <w:t>IBERCLEAR</w:t>
      </w:r>
      <w:r w:rsidR="00207725" w:rsidRPr="00B82006">
        <w:rPr>
          <w:rFonts w:ascii="Arial" w:eastAsia="Arial" w:hAnsi="Arial"/>
          <w:lang w:val="es-ES"/>
        </w:rPr>
        <w:t xml:space="preserve"> se especificará en la Sección Operativa</w:t>
      </w:r>
      <w:r w:rsidR="00843C37" w:rsidRPr="00B82006">
        <w:rPr>
          <w:rFonts w:ascii="Arial" w:eastAsia="Arial" w:hAnsi="Arial"/>
          <w:lang w:val="es-ES"/>
        </w:rPr>
        <w:t>.</w:t>
      </w:r>
    </w:p>
    <w:p w14:paraId="10AAEFA6" w14:textId="77777777" w:rsidR="00843C37" w:rsidRPr="00B82006" w:rsidRDefault="00843C37" w:rsidP="00843C37">
      <w:pPr>
        <w:spacing w:before="252" w:line="251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5: Tarifas</w:t>
      </w:r>
    </w:p>
    <w:p w14:paraId="10AAEFA7" w14:textId="77777777" w:rsidR="00D911FF" w:rsidRPr="00B82006" w:rsidRDefault="00D911FF" w:rsidP="00D911FF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Las partes acuerdan que los servicios prestados al amparo de este </w:t>
      </w:r>
      <w:r w:rsidR="006F067D" w:rsidRPr="00B82006">
        <w:rPr>
          <w:rFonts w:ascii="Arial" w:eastAsia="Arial" w:hAnsi="Arial"/>
          <w:lang w:val="es-ES"/>
        </w:rPr>
        <w:t>Convenio</w:t>
      </w:r>
      <w:r w:rsidRPr="00B82006">
        <w:rPr>
          <w:rFonts w:ascii="Arial" w:eastAsia="Arial" w:hAnsi="Arial"/>
          <w:lang w:val="es-ES"/>
        </w:rPr>
        <w:t xml:space="preserve"> estarán sujetos a las tarifas que constan en la Circular de tarifas de </w:t>
      </w:r>
      <w:r w:rsidR="00AC2F46">
        <w:rPr>
          <w:rFonts w:ascii="Arial" w:eastAsia="Arial" w:hAnsi="Arial"/>
          <w:lang w:val="es-ES"/>
        </w:rPr>
        <w:t>IBERCLEAR</w:t>
      </w:r>
      <w:r w:rsidRPr="00B82006">
        <w:rPr>
          <w:rFonts w:ascii="Arial" w:eastAsia="Arial" w:hAnsi="Arial"/>
          <w:lang w:val="es-ES"/>
        </w:rPr>
        <w:t xml:space="preserve"> vigente en cada momento. </w:t>
      </w:r>
    </w:p>
    <w:p w14:paraId="10AAEFA8" w14:textId="2593E765" w:rsidR="00D911FF" w:rsidRPr="00B82006" w:rsidRDefault="00D911FF" w:rsidP="00D911FF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A los solos efectos de las tarifas que se devenguen de la prestación de los servicios objeto del </w:t>
      </w:r>
      <w:r w:rsidR="00FA516B">
        <w:rPr>
          <w:rFonts w:ascii="Arial" w:eastAsia="Arial" w:hAnsi="Arial"/>
          <w:lang w:val="es-ES"/>
        </w:rPr>
        <w:t xml:space="preserve">presente acuerdo, </w:t>
      </w:r>
      <w:sdt>
        <w:sdtPr>
          <w:rPr>
            <w:rFonts w:ascii="Arial" w:eastAsia="Arial" w:hAnsi="Arial"/>
            <w:lang w:val="es-ES"/>
          </w:rPr>
          <w:id w:val="1816218992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Pr="00B82006">
        <w:rPr>
          <w:rFonts w:ascii="Arial" w:eastAsia="Arial" w:hAnsi="Arial"/>
          <w:lang w:val="es-ES"/>
        </w:rPr>
        <w:t xml:space="preserve"> deberá contar en todo momento con una cuenta de efectivo RTGS en TARGET2-Banco de España o en otro Banco Central perteneciente al Sistema de Bancos Centrales Europeos, en la que autorice a </w:t>
      </w:r>
      <w:r w:rsidR="00AC2F46">
        <w:rPr>
          <w:rFonts w:ascii="Arial" w:eastAsia="Arial" w:hAnsi="Arial"/>
          <w:lang w:val="es-ES"/>
        </w:rPr>
        <w:t>IBERCLEAR</w:t>
      </w:r>
      <w:r w:rsidRPr="00B82006">
        <w:rPr>
          <w:rFonts w:ascii="Arial" w:eastAsia="Arial" w:hAnsi="Arial"/>
          <w:lang w:val="es-ES"/>
        </w:rPr>
        <w:t xml:space="preserve"> a ordenar sobre dicha cuenta los abonos y cargos de las cantidades que resulten de acuerdo con las tarifas que puedan devengarse. Dicha cuenta de efectivo será la que se detalle en la Sección Operativa.</w:t>
      </w:r>
    </w:p>
    <w:p w14:paraId="10AAEFA9" w14:textId="0F81D580" w:rsidR="00D911FF" w:rsidRPr="00B82006" w:rsidRDefault="00D911FF" w:rsidP="00D911FF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b/>
          <w:bCs/>
          <w:lang w:val="es-ES"/>
        </w:rPr>
      </w:pPr>
      <w:r w:rsidRPr="00B82006">
        <w:rPr>
          <w:rFonts w:ascii="Arial" w:eastAsia="Arial" w:hAnsi="Arial"/>
          <w:lang w:val="es-ES"/>
        </w:rPr>
        <w:t>En caso de retraso en el pago de las tarifas se aplicará lo dispuesto en el artículo 7.2 de la Ley 3/2004, de 29 de diciembre, por la que se establecen medidas de lucha contra la morosidad en las operaciones comerciales, sobre las cantidades pe</w:t>
      </w:r>
      <w:r w:rsidR="00FA516B">
        <w:rPr>
          <w:rFonts w:ascii="Arial" w:eastAsia="Arial" w:hAnsi="Arial"/>
          <w:lang w:val="es-ES"/>
        </w:rPr>
        <w:t xml:space="preserve">ndientes de abono por parte de </w:t>
      </w:r>
      <w:sdt>
        <w:sdtPr>
          <w:rPr>
            <w:rFonts w:ascii="Arial" w:eastAsia="Arial" w:hAnsi="Arial"/>
            <w:lang w:val="es-ES"/>
          </w:rPr>
          <w:id w:val="97535549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Pr="00B82006">
        <w:rPr>
          <w:rFonts w:ascii="Arial" w:eastAsia="Arial" w:hAnsi="Arial"/>
          <w:lang w:val="es-ES"/>
        </w:rPr>
        <w:t xml:space="preserve"> y hasta la fecha en que dichas cantidades sean abonadas por la misma.</w:t>
      </w:r>
    </w:p>
    <w:p w14:paraId="10AAEFAA" w14:textId="7C890D06" w:rsidR="00D911FF" w:rsidRPr="00B82006" w:rsidRDefault="00D911FF" w:rsidP="00D911FF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_tradnl"/>
        </w:rPr>
      </w:pPr>
      <w:r w:rsidRPr="00B82006">
        <w:rPr>
          <w:rFonts w:ascii="Arial" w:eastAsia="Arial" w:hAnsi="Arial"/>
          <w:lang w:val="es-ES_tradnl"/>
        </w:rPr>
        <w:t xml:space="preserve">Además, en caso de que </w:t>
      </w:r>
      <w:sdt>
        <w:sdtPr>
          <w:rPr>
            <w:rFonts w:ascii="Arial" w:eastAsia="Arial" w:hAnsi="Arial"/>
            <w:lang w:val="es-ES_tradnl"/>
          </w:rPr>
          <w:id w:val="1636452943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_tradnl"/>
            </w:rPr>
            <w:t>XXXXX</w:t>
          </w:r>
        </w:sdtContent>
      </w:sdt>
      <w:r w:rsidRPr="00B82006">
        <w:rPr>
          <w:rFonts w:ascii="Arial" w:eastAsia="Arial" w:hAnsi="Arial"/>
          <w:lang w:val="es-ES_tradnl"/>
        </w:rPr>
        <w:t xml:space="preserve"> solicitara cualquier adaptación o funcionalidad específica en relación con la prestaci</w:t>
      </w:r>
      <w:r w:rsidR="00AC2F46">
        <w:rPr>
          <w:rFonts w:ascii="Arial" w:eastAsia="Arial" w:hAnsi="Arial"/>
          <w:lang w:val="es-ES_tradnl"/>
        </w:rPr>
        <w:t xml:space="preserve">ón de los servicios previstos, </w:t>
      </w:r>
      <w:r w:rsidR="00CF37B7" w:rsidRPr="00B82006">
        <w:rPr>
          <w:rFonts w:ascii="Arial" w:eastAsia="Arial" w:hAnsi="Arial"/>
          <w:lang w:val="es-ES_tradnl"/>
        </w:rPr>
        <w:t xml:space="preserve">o </w:t>
      </w:r>
      <w:r w:rsidR="006F067D" w:rsidRPr="00B82006">
        <w:rPr>
          <w:rFonts w:ascii="Arial" w:eastAsia="Arial" w:hAnsi="Arial"/>
          <w:lang w:val="es-ES_tradnl"/>
        </w:rPr>
        <w:t>solicitara</w:t>
      </w:r>
      <w:r w:rsidRPr="00B82006">
        <w:rPr>
          <w:rFonts w:ascii="Arial" w:eastAsia="Arial" w:hAnsi="Arial"/>
          <w:lang w:val="es-ES_tradnl"/>
        </w:rPr>
        <w:t xml:space="preserve"> cualquier servicio adicional, las partes acordarán en la Sección Operativa las condiciones aplicables a dichas adaptaciones o funcionalidades específicas o servicios adicionales.</w:t>
      </w:r>
    </w:p>
    <w:p w14:paraId="10AAEFAB" w14:textId="77777777" w:rsidR="00843C37" w:rsidRPr="00B82006" w:rsidRDefault="00843C37" w:rsidP="00843C37">
      <w:pPr>
        <w:spacing w:before="2" w:line="254" w:lineRule="exact"/>
        <w:textAlignment w:val="baseline"/>
        <w:rPr>
          <w:rFonts w:ascii="Arial" w:eastAsia="Arial" w:hAnsi="Arial"/>
          <w:lang w:val="es-ES"/>
        </w:rPr>
      </w:pPr>
    </w:p>
    <w:p w14:paraId="10AAEFAC" w14:textId="77777777" w:rsidR="00843C37" w:rsidRPr="00B82006" w:rsidRDefault="00843C37" w:rsidP="00843C37">
      <w:pPr>
        <w:spacing w:before="2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6: Confidencialidad</w:t>
      </w:r>
    </w:p>
    <w:p w14:paraId="10AAEFAD" w14:textId="77777777" w:rsidR="00843C37" w:rsidRPr="00B82006" w:rsidRDefault="00843C37" w:rsidP="00843C37">
      <w:pPr>
        <w:spacing w:before="248" w:line="254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Las partes se comprometen en todo momento a no revelar a ningún tercero ninguna información relativa a los registros de valores y liquidación de operaciones, por razón alguna, distinta de:</w:t>
      </w:r>
    </w:p>
    <w:p w14:paraId="10AAEFAE" w14:textId="77777777" w:rsidR="00843C37" w:rsidRPr="00B82006" w:rsidRDefault="00843C37" w:rsidP="00AC2F46">
      <w:pPr>
        <w:numPr>
          <w:ilvl w:val="0"/>
          <w:numId w:val="3"/>
        </w:numPr>
        <w:tabs>
          <w:tab w:val="clear" w:pos="288"/>
          <w:tab w:val="left" w:pos="1008"/>
        </w:tabs>
        <w:spacing w:before="252" w:line="252" w:lineRule="exact"/>
        <w:ind w:right="282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aquélla que vaya precedida por el consentimiento expreso de la otra parte</w:t>
      </w:r>
    </w:p>
    <w:p w14:paraId="10AAEFAF" w14:textId="77777777" w:rsidR="00843C37" w:rsidRPr="00B82006" w:rsidRDefault="00843C37" w:rsidP="00843C37">
      <w:pPr>
        <w:numPr>
          <w:ilvl w:val="0"/>
          <w:numId w:val="3"/>
        </w:numPr>
        <w:tabs>
          <w:tab w:val="clear" w:pos="288"/>
          <w:tab w:val="left" w:pos="1008"/>
        </w:tabs>
        <w:spacing w:before="6" w:line="249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información a persona que tenga derecho o deber legal de obtener o requerir dicha información.</w:t>
      </w:r>
    </w:p>
    <w:p w14:paraId="10AAEFB0" w14:textId="77777777" w:rsidR="00843C37" w:rsidRPr="00B82006" w:rsidRDefault="00843C37" w:rsidP="00843C37">
      <w:pPr>
        <w:spacing w:before="257" w:line="252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Las pa</w:t>
      </w:r>
      <w:r w:rsidR="00AC2F46">
        <w:rPr>
          <w:rFonts w:ascii="Arial" w:eastAsia="Arial" w:hAnsi="Arial"/>
          <w:lang w:val="es-ES"/>
        </w:rPr>
        <w:t>rtes cuidarán que sus empleados</w:t>
      </w:r>
      <w:r w:rsidRPr="00B82006">
        <w:rPr>
          <w:rFonts w:ascii="Arial" w:eastAsia="Arial" w:hAnsi="Arial"/>
          <w:lang w:val="es-ES"/>
        </w:rPr>
        <w:t xml:space="preserve"> queden obligados por el secreto profesional. El secreto profesional cubrirá toda información resultante del presente </w:t>
      </w:r>
      <w:r w:rsidR="00CF37B7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>onvenio, y su divulgación está prohibida salvo lo establecido en (a) y (b).</w:t>
      </w:r>
    </w:p>
    <w:p w14:paraId="10AAEFB1" w14:textId="77777777" w:rsidR="00843C37" w:rsidRPr="00B82006" w:rsidRDefault="00843C37" w:rsidP="00843C37">
      <w:pPr>
        <w:spacing w:before="257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7: Fuerza mayor</w:t>
      </w:r>
    </w:p>
    <w:p w14:paraId="10AAEFB2" w14:textId="77777777" w:rsidR="00843C37" w:rsidRPr="00B82006" w:rsidRDefault="00843C37" w:rsidP="00843C37">
      <w:pPr>
        <w:spacing w:before="251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Lo dispuesto en este convenio no será vinculante para las partes en lo que su cumplimiento venga prohibido por alguna ley, regulación, decreto, orden u otro acto ejecutivo o judicial, revocación de licencia, guerra, disturbios, sublevación civil, fuego, explosión, accidente, conflicto industrial, incapacidad para obtener </w:t>
      </w:r>
      <w:r w:rsidRPr="00B82006">
        <w:rPr>
          <w:rFonts w:ascii="Arial" w:eastAsia="Arial" w:hAnsi="Arial"/>
          <w:lang w:val="es-ES"/>
        </w:rPr>
        <w:lastRenderedPageBreak/>
        <w:t>materiales, cortes de energía, incapacidad de comunicación, desastres naturales y otras causas o efectos fuera del control de la parte correspondiente.</w:t>
      </w:r>
    </w:p>
    <w:p w14:paraId="10AAEFB3" w14:textId="77777777" w:rsidR="00843C37" w:rsidRPr="00B82006" w:rsidRDefault="00843C37" w:rsidP="00843C37">
      <w:pPr>
        <w:spacing w:before="252" w:line="252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Sin perjuicio de lo dispuesto en el artículo 12, si la f</w:t>
      </w:r>
      <w:r w:rsidR="00913EB1">
        <w:rPr>
          <w:rFonts w:ascii="Arial" w:eastAsia="Arial" w:hAnsi="Arial"/>
          <w:lang w:val="es-ES"/>
        </w:rPr>
        <w:t>uerza mayor se prolonga más de treinta días</w:t>
      </w:r>
      <w:r w:rsidRPr="00B82006">
        <w:rPr>
          <w:rFonts w:ascii="Arial" w:eastAsia="Arial" w:hAnsi="Arial"/>
          <w:lang w:val="es-ES"/>
        </w:rPr>
        <w:t>, la parte afectada tiene derecho a la terminación del convenio, si se considera apropiado, y ajustado a buena fe, bajo esas circunstancias.</w:t>
      </w:r>
    </w:p>
    <w:p w14:paraId="10AAEFB4" w14:textId="1364DFE7" w:rsidR="00843C37" w:rsidRPr="00B82006" w:rsidRDefault="00AC2F46" w:rsidP="00843C37">
      <w:pPr>
        <w:spacing w:before="259" w:line="252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 xml:space="preserve"> deberá realizar los esfuerzos razonables para restablecer los servicios interrumpidos por fuerza mayor, pero no incurri</w:t>
      </w:r>
      <w:r w:rsidR="00FA516B">
        <w:rPr>
          <w:rFonts w:ascii="Arial" w:eastAsia="Arial" w:hAnsi="Arial"/>
          <w:lang w:val="es-ES"/>
        </w:rPr>
        <w:t xml:space="preserve">rá en responsabilidad frente a </w:t>
      </w:r>
      <w:sdt>
        <w:sdtPr>
          <w:rPr>
            <w:rFonts w:ascii="Arial" w:eastAsia="Arial" w:hAnsi="Arial"/>
            <w:lang w:val="es-ES"/>
          </w:rPr>
          <w:id w:val="1071393038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si no lo logra, exceptuando lo previsto en su </w:t>
      </w:r>
      <w:r w:rsidR="00CF37B7" w:rsidRPr="00B82006">
        <w:rPr>
          <w:rFonts w:ascii="Arial" w:eastAsia="Arial" w:hAnsi="Arial"/>
          <w:lang w:val="es-ES"/>
        </w:rPr>
        <w:t xml:space="preserve">Reglamento </w:t>
      </w:r>
      <w:r w:rsidR="00843C37" w:rsidRPr="00B82006">
        <w:rPr>
          <w:rFonts w:ascii="Arial" w:eastAsia="Arial" w:hAnsi="Arial"/>
          <w:lang w:val="es-ES"/>
        </w:rPr>
        <w:t>y demás normas de funcionamiento.</w:t>
      </w:r>
    </w:p>
    <w:p w14:paraId="10AAEFB5" w14:textId="77777777" w:rsidR="00843C37" w:rsidRPr="00B82006" w:rsidRDefault="00843C37" w:rsidP="00843C37">
      <w:pPr>
        <w:spacing w:before="252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8: Reglas generales y demás normas de funcionamiento</w:t>
      </w:r>
    </w:p>
    <w:p w14:paraId="10AAEFB6" w14:textId="77777777" w:rsidR="003C4C39" w:rsidRPr="00B82006" w:rsidRDefault="00FF299F" w:rsidP="003C4C39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Los Servicios prestados por </w:t>
      </w:r>
      <w:r w:rsidR="00AC2F46">
        <w:rPr>
          <w:rFonts w:ascii="Arial" w:eastAsia="Arial" w:hAnsi="Arial"/>
          <w:lang w:val="es-ES"/>
        </w:rPr>
        <w:t>IBERCLEAR</w:t>
      </w:r>
      <w:r w:rsidRPr="00B82006">
        <w:rPr>
          <w:rFonts w:ascii="Arial" w:eastAsia="Arial" w:hAnsi="Arial"/>
          <w:lang w:val="es-ES"/>
        </w:rPr>
        <w:t xml:space="preserve"> en virtud del presente Convenio quedarán </w:t>
      </w:r>
      <w:r w:rsidR="00342A70" w:rsidRPr="00B82006">
        <w:rPr>
          <w:rFonts w:ascii="Arial" w:eastAsia="Arial" w:hAnsi="Arial"/>
          <w:lang w:val="es-ES"/>
        </w:rPr>
        <w:t>sometidos a las normas y procedimientos establecidos</w:t>
      </w:r>
      <w:r w:rsidR="00986B0A" w:rsidRPr="00B82006">
        <w:rPr>
          <w:rFonts w:ascii="Arial" w:eastAsia="Arial" w:hAnsi="Arial"/>
          <w:lang w:val="es-ES"/>
        </w:rPr>
        <w:t xml:space="preserve"> para el S</w:t>
      </w:r>
      <w:r w:rsidR="00AC2F46">
        <w:rPr>
          <w:rFonts w:ascii="Arial" w:eastAsia="Arial" w:hAnsi="Arial"/>
          <w:lang w:val="es-ES"/>
        </w:rPr>
        <w:t>istema de Liquidación</w:t>
      </w:r>
      <w:r w:rsidR="00986B0A" w:rsidRPr="00B82006">
        <w:rPr>
          <w:rFonts w:ascii="Arial" w:eastAsia="Arial" w:hAnsi="Arial"/>
          <w:lang w:val="es-ES"/>
        </w:rPr>
        <w:t xml:space="preserve"> ARCO y que están contenidas,</w:t>
      </w:r>
      <w:r w:rsidR="00342A70" w:rsidRPr="00B82006">
        <w:rPr>
          <w:rFonts w:ascii="Arial" w:eastAsia="Arial" w:hAnsi="Arial"/>
          <w:lang w:val="es-ES"/>
        </w:rPr>
        <w:t xml:space="preserve"> con carácter general, en el Reglamento de </w:t>
      </w:r>
      <w:r w:rsidR="00AC2F46">
        <w:rPr>
          <w:rFonts w:ascii="Arial" w:eastAsia="Arial" w:hAnsi="Arial"/>
          <w:lang w:val="es-ES"/>
        </w:rPr>
        <w:t>IBERCLEAR</w:t>
      </w:r>
      <w:r w:rsidR="00342A70" w:rsidRPr="00B82006">
        <w:rPr>
          <w:rFonts w:ascii="Arial" w:eastAsia="Arial" w:hAnsi="Arial"/>
          <w:lang w:val="es-ES"/>
        </w:rPr>
        <w:t xml:space="preserve">, y concretados en sus Circulares e Instrucciones de desarrollo y el Manual de Procedimientos aprobado por </w:t>
      </w:r>
      <w:r w:rsidR="00AC2F46"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 xml:space="preserve">, </w:t>
      </w:r>
      <w:r w:rsidR="003C4C39" w:rsidRPr="00B82006">
        <w:rPr>
          <w:rFonts w:ascii="Arial" w:eastAsia="Arial" w:hAnsi="Arial"/>
          <w:lang w:val="es-ES"/>
        </w:rPr>
        <w:t>sin perjuicio de las especialidades que resulten del presente Convenio.</w:t>
      </w:r>
    </w:p>
    <w:p w14:paraId="10AAEFB7" w14:textId="3A513E38" w:rsidR="003C4C39" w:rsidRPr="00B82006" w:rsidRDefault="00344C46" w:rsidP="003C4C39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-1281868669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3C4C39" w:rsidRPr="00B82006">
        <w:rPr>
          <w:rFonts w:ascii="Arial" w:eastAsia="Arial" w:hAnsi="Arial"/>
          <w:lang w:val="es-ES"/>
        </w:rPr>
        <w:t xml:space="preserve"> establecerá y aplicará los procedimientos y acuerdos necesarios para el cumplimiento de las obligaciones derivadas de las reglas generales y demás normas de funcionamiento anteriormente citadas, incluidas las referidas al Sistema de Información gestionado por </w:t>
      </w:r>
      <w:r w:rsidR="00AC2F46">
        <w:rPr>
          <w:rFonts w:ascii="Arial" w:eastAsia="Arial" w:hAnsi="Arial"/>
          <w:lang w:val="es-ES"/>
        </w:rPr>
        <w:t>IBERCLEAR</w:t>
      </w:r>
      <w:r w:rsidR="003C4C39" w:rsidRPr="00B82006">
        <w:rPr>
          <w:rFonts w:ascii="Arial" w:eastAsia="Arial" w:hAnsi="Arial"/>
          <w:lang w:val="es-ES"/>
        </w:rPr>
        <w:t>, en los términos detallados en la Sección Operativa.</w:t>
      </w:r>
    </w:p>
    <w:p w14:paraId="10AAEFB8" w14:textId="77777777" w:rsidR="00843C37" w:rsidRPr="00B82006" w:rsidRDefault="00843C37" w:rsidP="00843C37">
      <w:pPr>
        <w:spacing w:before="250" w:line="254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Todos los demás aspectos se recogen en la Sección Operativa, cuya última versión forma parte integrante del presente </w:t>
      </w:r>
      <w:r w:rsidR="00342A70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>onvenio.</w:t>
      </w:r>
    </w:p>
    <w:p w14:paraId="10AAEFB9" w14:textId="789A70FE" w:rsidR="00843C37" w:rsidRPr="00B82006" w:rsidRDefault="00843C37" w:rsidP="00843C37">
      <w:pPr>
        <w:spacing w:before="250" w:line="254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Los documentos mencionados en los dos primeros párrafos de este artículo, junto con esta Sección Legal, constituyen en su conjunto el </w:t>
      </w:r>
      <w:r w:rsidR="00974251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 xml:space="preserve">onvenio entre </w:t>
      </w:r>
      <w:r w:rsidR="00AC2F46">
        <w:rPr>
          <w:rFonts w:ascii="Arial" w:eastAsia="Arial" w:hAnsi="Arial"/>
          <w:lang w:val="es-ES"/>
        </w:rPr>
        <w:t>IBERCLEAR</w:t>
      </w:r>
      <w:r w:rsidR="00FA516B">
        <w:rPr>
          <w:rFonts w:ascii="Arial" w:eastAsia="Arial" w:hAnsi="Arial"/>
          <w:lang w:val="es-ES"/>
        </w:rPr>
        <w:t xml:space="preserve"> y </w:t>
      </w:r>
      <w:sdt>
        <w:sdtPr>
          <w:rPr>
            <w:rFonts w:ascii="Arial" w:eastAsia="Arial" w:hAnsi="Arial"/>
            <w:lang w:val="es-ES"/>
          </w:rPr>
          <w:id w:val="-1344622282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Pr="00B82006">
        <w:rPr>
          <w:rFonts w:ascii="Arial" w:eastAsia="Arial" w:hAnsi="Arial"/>
          <w:lang w:val="es-ES"/>
        </w:rPr>
        <w:t>.</w:t>
      </w:r>
    </w:p>
    <w:p w14:paraId="10AAEFBA" w14:textId="77777777" w:rsidR="00D911FF" w:rsidRPr="00B82006" w:rsidRDefault="00D911FF" w:rsidP="00843C37">
      <w:pPr>
        <w:spacing w:before="2" w:line="254" w:lineRule="exact"/>
        <w:textAlignment w:val="baseline"/>
        <w:rPr>
          <w:rFonts w:ascii="Arial" w:eastAsia="Arial" w:hAnsi="Arial"/>
          <w:b/>
          <w:i/>
          <w:spacing w:val="2"/>
          <w:lang w:val="es-ES"/>
        </w:rPr>
      </w:pPr>
    </w:p>
    <w:p w14:paraId="10AAEFBB" w14:textId="77777777" w:rsidR="00843C37" w:rsidRPr="00B82006" w:rsidRDefault="00843C37" w:rsidP="00843C37">
      <w:pPr>
        <w:spacing w:before="2" w:line="254" w:lineRule="exact"/>
        <w:textAlignment w:val="baseline"/>
        <w:rPr>
          <w:rFonts w:ascii="Arial" w:eastAsia="Arial" w:hAnsi="Arial"/>
          <w:b/>
          <w:i/>
          <w:spacing w:val="2"/>
          <w:lang w:val="es-ES"/>
        </w:rPr>
      </w:pPr>
      <w:r w:rsidRPr="00B82006">
        <w:rPr>
          <w:rFonts w:ascii="Arial" w:eastAsia="Arial" w:hAnsi="Arial"/>
          <w:b/>
          <w:i/>
          <w:spacing w:val="2"/>
          <w:lang w:val="es-ES"/>
        </w:rPr>
        <w:t>Artículo 9: Modificaciones</w:t>
      </w:r>
    </w:p>
    <w:p w14:paraId="10AAEFBC" w14:textId="77777777" w:rsidR="00843C37" w:rsidRPr="00B82006" w:rsidRDefault="00843C37" w:rsidP="00843C37">
      <w:pPr>
        <w:spacing w:before="252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Los términos de esta </w:t>
      </w:r>
      <w:r w:rsidR="00FF299F" w:rsidRPr="00B82006">
        <w:rPr>
          <w:rFonts w:ascii="Arial" w:eastAsia="Arial" w:hAnsi="Arial"/>
          <w:lang w:val="es-ES"/>
        </w:rPr>
        <w:t>S</w:t>
      </w:r>
      <w:r w:rsidRPr="00B82006">
        <w:rPr>
          <w:rFonts w:ascii="Arial" w:eastAsia="Arial" w:hAnsi="Arial"/>
          <w:lang w:val="es-ES"/>
        </w:rPr>
        <w:t xml:space="preserve">ección </w:t>
      </w:r>
      <w:r w:rsidR="00974251" w:rsidRPr="00B82006">
        <w:rPr>
          <w:rFonts w:ascii="Arial" w:eastAsia="Arial" w:hAnsi="Arial"/>
          <w:lang w:val="es-ES"/>
        </w:rPr>
        <w:t>L</w:t>
      </w:r>
      <w:r w:rsidRPr="00B82006">
        <w:rPr>
          <w:rFonts w:ascii="Arial" w:eastAsia="Arial" w:hAnsi="Arial"/>
          <w:lang w:val="es-ES"/>
        </w:rPr>
        <w:t>egal no se modificarán más que en los casos en que ambas partes así lo acuerden por escrito, con firma de persona autorizada.</w:t>
      </w:r>
    </w:p>
    <w:p w14:paraId="10AAEFBD" w14:textId="18E696C2" w:rsidR="00843C37" w:rsidRPr="00B82006" w:rsidRDefault="00AC2F46" w:rsidP="00843C37">
      <w:pPr>
        <w:spacing w:before="253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 xml:space="preserve"> notificará adecuadamente (generalmente, en la forma previ</w:t>
      </w:r>
      <w:r w:rsidR="00FA516B">
        <w:rPr>
          <w:rFonts w:ascii="Arial" w:eastAsia="Arial" w:hAnsi="Arial"/>
          <w:lang w:val="es-ES"/>
        </w:rPr>
        <w:t xml:space="preserve">sta en la Sección Operativa) a </w:t>
      </w:r>
      <w:sdt>
        <w:sdtPr>
          <w:rPr>
            <w:rFonts w:ascii="Arial" w:eastAsia="Arial" w:hAnsi="Arial"/>
            <w:lang w:val="es-ES"/>
          </w:rPr>
          <w:id w:val="399103435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los cambios en </w:t>
      </w:r>
      <w:r w:rsidR="00342A70" w:rsidRPr="00B82006">
        <w:rPr>
          <w:rFonts w:ascii="Arial" w:eastAsia="Arial" w:hAnsi="Arial"/>
          <w:lang w:val="es-ES"/>
        </w:rPr>
        <w:t>el Sistema de Liquidación ARCO</w:t>
      </w:r>
      <w:r w:rsidR="00843C37" w:rsidRPr="00B82006">
        <w:rPr>
          <w:rFonts w:ascii="Arial" w:eastAsia="Arial" w:hAnsi="Arial"/>
          <w:lang w:val="es-ES"/>
        </w:rPr>
        <w:t xml:space="preserve"> que</w:t>
      </w:r>
      <w:r w:rsidR="00FA516B">
        <w:rPr>
          <w:rFonts w:ascii="Arial" w:eastAsia="Arial" w:hAnsi="Arial"/>
          <w:lang w:val="es-ES"/>
        </w:rPr>
        <w:t xml:space="preserve"> requieran a su vez cambios en </w:t>
      </w:r>
      <w:sdt>
        <w:sdtPr>
          <w:rPr>
            <w:rFonts w:ascii="Arial" w:eastAsia="Arial" w:hAnsi="Arial"/>
            <w:lang w:val="es-ES"/>
          </w:rPr>
          <w:id w:val="490687109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342A70" w:rsidRPr="00B82006">
        <w:rPr>
          <w:rFonts w:ascii="Arial" w:eastAsia="Arial" w:hAnsi="Arial"/>
          <w:lang w:val="es-ES"/>
        </w:rPr>
        <w:t>, o que supongan cambios en la S</w:t>
      </w:r>
      <w:r w:rsidR="00843C37" w:rsidRPr="00B82006">
        <w:rPr>
          <w:rFonts w:ascii="Arial" w:eastAsia="Arial" w:hAnsi="Arial"/>
          <w:lang w:val="es-ES"/>
        </w:rPr>
        <w:t xml:space="preserve">ección </w:t>
      </w:r>
      <w:r w:rsidR="00342A70" w:rsidRPr="00B82006">
        <w:rPr>
          <w:rFonts w:ascii="Arial" w:eastAsia="Arial" w:hAnsi="Arial"/>
          <w:lang w:val="es-ES"/>
        </w:rPr>
        <w:t>O</w:t>
      </w:r>
      <w:r w:rsidR="00843C37" w:rsidRPr="00B82006">
        <w:rPr>
          <w:rFonts w:ascii="Arial" w:eastAsia="Arial" w:hAnsi="Arial"/>
          <w:lang w:val="es-ES"/>
        </w:rPr>
        <w:t xml:space="preserve">perativa o en las reglas generales y demás normas de funcionamiento de </w:t>
      </w:r>
      <w:r>
        <w:rPr>
          <w:rFonts w:ascii="Arial" w:eastAsia="Arial" w:hAnsi="Arial"/>
          <w:lang w:val="es-ES"/>
        </w:rPr>
        <w:t>IBERCLEAR</w:t>
      </w:r>
      <w:r w:rsidR="00843C37" w:rsidRPr="00B82006">
        <w:rPr>
          <w:rFonts w:ascii="Arial" w:eastAsia="Arial" w:hAnsi="Arial"/>
          <w:lang w:val="es-ES"/>
        </w:rPr>
        <w:t>, (pero no incurri</w:t>
      </w:r>
      <w:r w:rsidR="00FA516B">
        <w:rPr>
          <w:rFonts w:ascii="Arial" w:eastAsia="Arial" w:hAnsi="Arial"/>
          <w:lang w:val="es-ES"/>
        </w:rPr>
        <w:t xml:space="preserve">rá en responsabilidad frente a </w:t>
      </w:r>
      <w:sdt>
        <w:sdtPr>
          <w:rPr>
            <w:rFonts w:ascii="Arial" w:eastAsia="Arial" w:hAnsi="Arial"/>
            <w:lang w:val="es-ES"/>
          </w:rPr>
          <w:id w:val="-1033650026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si no lo hace, a salvo lo previsto en su reglamentación general y demás normas de funcionamiento).</w:t>
      </w:r>
    </w:p>
    <w:p w14:paraId="10AAEFBE" w14:textId="77777777" w:rsidR="00843C37" w:rsidRPr="00B82006" w:rsidRDefault="00843C37" w:rsidP="00843C37">
      <w:pPr>
        <w:spacing w:before="256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10: Arbitraje</w:t>
      </w:r>
    </w:p>
    <w:p w14:paraId="10AAEFBF" w14:textId="77777777" w:rsidR="00843C37" w:rsidRPr="00B82006" w:rsidRDefault="00295F8D" w:rsidP="00843C37">
      <w:pPr>
        <w:spacing w:before="250" w:line="253" w:lineRule="exact"/>
        <w:ind w:right="432"/>
        <w:jc w:val="both"/>
        <w:textAlignment w:val="baseline"/>
        <w:rPr>
          <w:rFonts w:ascii="Arial" w:eastAsia="Arial" w:hAnsi="Arial"/>
          <w:spacing w:val="2"/>
          <w:lang w:val="es-ES"/>
        </w:rPr>
      </w:pPr>
      <w:r w:rsidRPr="00B82006">
        <w:rPr>
          <w:rFonts w:ascii="Arial" w:eastAsia="Arial" w:hAnsi="Arial"/>
          <w:spacing w:val="2"/>
          <w:lang w:val="es-ES"/>
        </w:rPr>
        <w:t xml:space="preserve">Todas las disputas que surjan en relación con el presente </w:t>
      </w:r>
      <w:r w:rsidR="00342A70" w:rsidRPr="00B82006">
        <w:rPr>
          <w:rFonts w:ascii="Arial" w:eastAsia="Arial" w:hAnsi="Arial"/>
          <w:spacing w:val="2"/>
          <w:lang w:val="es-ES"/>
        </w:rPr>
        <w:t>C</w:t>
      </w:r>
      <w:r w:rsidRPr="00B82006">
        <w:rPr>
          <w:rFonts w:ascii="Arial" w:eastAsia="Arial" w:hAnsi="Arial"/>
          <w:spacing w:val="2"/>
          <w:lang w:val="es-ES"/>
        </w:rPr>
        <w:t xml:space="preserve">onvenio se resolverán de mutuo acuerdo por las partes. Sin embargo, en caso de que no puedan ser resueltas por mutuo acuerdo, las partes se someten expresamente a arbitraje de derecho regulado por la Ley 60/2003, de 23 de </w:t>
      </w:r>
      <w:proofErr w:type="gramStart"/>
      <w:r w:rsidRPr="00B82006">
        <w:rPr>
          <w:rFonts w:ascii="Arial" w:eastAsia="Arial" w:hAnsi="Arial"/>
          <w:spacing w:val="2"/>
          <w:lang w:val="es-ES"/>
        </w:rPr>
        <w:t>Diciembre</w:t>
      </w:r>
      <w:proofErr w:type="gramEnd"/>
      <w:r w:rsidRPr="00B82006">
        <w:rPr>
          <w:rFonts w:ascii="Arial" w:eastAsia="Arial" w:hAnsi="Arial"/>
          <w:spacing w:val="2"/>
          <w:lang w:val="es-ES"/>
        </w:rPr>
        <w:t xml:space="preserve"> de 2003, de Arbitraje española, renunciando expresamente al fuero que les corresponda. Ambas partes se obligan a someterse al laudo arbitral y a cumplirlo una vez dictado. El arbitraje </w:t>
      </w:r>
      <w:r w:rsidRPr="00B82006">
        <w:rPr>
          <w:rFonts w:ascii="Arial" w:eastAsia="Arial" w:hAnsi="Arial"/>
          <w:spacing w:val="2"/>
          <w:lang w:val="es-ES"/>
        </w:rPr>
        <w:lastRenderedPageBreak/>
        <w:t>se encomienda a la Corte Civil y Mercantil de Arbitraje (CIMA) cuyos Estatutos y Reglamento de Procedimiento conocen las partes.</w:t>
      </w:r>
    </w:p>
    <w:p w14:paraId="10AAEFC0" w14:textId="77777777" w:rsidR="00843C37" w:rsidRPr="00B82006" w:rsidRDefault="00843C37" w:rsidP="00843C37">
      <w:pPr>
        <w:spacing w:before="251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 11: Ley aplicable e idioma</w:t>
      </w:r>
    </w:p>
    <w:p w14:paraId="10AAEFC1" w14:textId="77777777" w:rsidR="00843C37" w:rsidRPr="00B82006" w:rsidRDefault="00342A70" w:rsidP="00843C37">
      <w:pPr>
        <w:spacing w:before="255" w:line="253" w:lineRule="exact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El presente C</w:t>
      </w:r>
      <w:r w:rsidR="00843C37" w:rsidRPr="00B82006">
        <w:rPr>
          <w:rFonts w:ascii="Arial" w:eastAsia="Arial" w:hAnsi="Arial"/>
          <w:lang w:val="es-ES"/>
        </w:rPr>
        <w:t xml:space="preserve">onvenio se regirá </w:t>
      </w:r>
      <w:r w:rsidR="00D911FF" w:rsidRPr="00B82006">
        <w:rPr>
          <w:rFonts w:ascii="Arial" w:eastAsia="Arial" w:hAnsi="Arial"/>
          <w:lang w:val="es-ES"/>
        </w:rPr>
        <w:t>y será interpretado de acuerdo con</w:t>
      </w:r>
      <w:r w:rsidR="00843C37" w:rsidRPr="00B82006">
        <w:rPr>
          <w:rFonts w:ascii="Arial" w:eastAsia="Arial" w:hAnsi="Arial"/>
          <w:lang w:val="es-ES"/>
        </w:rPr>
        <w:t xml:space="preserve"> la ley española.</w:t>
      </w:r>
    </w:p>
    <w:p w14:paraId="10AAEFC2" w14:textId="77777777" w:rsidR="00843C37" w:rsidRPr="00B82006" w:rsidRDefault="00843C37" w:rsidP="00843C37">
      <w:pPr>
        <w:spacing w:before="253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El presente </w:t>
      </w:r>
      <w:r w:rsidR="00342A70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 xml:space="preserve">onvenio está redactado en </w:t>
      </w:r>
      <w:r w:rsidR="00295F8D" w:rsidRPr="00B82006">
        <w:rPr>
          <w:rFonts w:ascii="Arial" w:eastAsia="Arial" w:hAnsi="Arial"/>
          <w:lang w:val="es-ES"/>
        </w:rPr>
        <w:t>español</w:t>
      </w:r>
      <w:r w:rsidRPr="00B82006">
        <w:rPr>
          <w:rFonts w:ascii="Arial" w:eastAsia="Arial" w:hAnsi="Arial"/>
          <w:lang w:val="es-ES"/>
        </w:rPr>
        <w:t xml:space="preserve"> y en inglés. </w:t>
      </w:r>
      <w:r w:rsidR="00D911FF" w:rsidRPr="00B82006">
        <w:rPr>
          <w:rFonts w:ascii="Arial" w:eastAsia="Arial" w:hAnsi="Arial"/>
          <w:lang w:val="es-ES"/>
        </w:rPr>
        <w:t xml:space="preserve">La versión en </w:t>
      </w:r>
      <w:r w:rsidR="00295F8D" w:rsidRPr="00B82006">
        <w:rPr>
          <w:rFonts w:ascii="Arial" w:eastAsia="Arial" w:hAnsi="Arial"/>
          <w:lang w:val="es-ES"/>
        </w:rPr>
        <w:t xml:space="preserve">español prevalecerá a todos los efectos y será la que deba tenerse en cuenta en caso de que surjan dudas sobre la interpretación del </w:t>
      </w:r>
      <w:r w:rsidR="00342A70" w:rsidRPr="00B82006">
        <w:rPr>
          <w:rFonts w:ascii="Arial" w:eastAsia="Arial" w:hAnsi="Arial"/>
          <w:lang w:val="es-ES"/>
        </w:rPr>
        <w:t>C</w:t>
      </w:r>
      <w:r w:rsidR="00295F8D" w:rsidRPr="00B82006">
        <w:rPr>
          <w:rFonts w:ascii="Arial" w:eastAsia="Arial" w:hAnsi="Arial"/>
          <w:lang w:val="es-ES"/>
        </w:rPr>
        <w:t xml:space="preserve">onvenio o se susciten cualesquiera cuestiones relevantes a su validez, cumplimiento y resolución. </w:t>
      </w:r>
    </w:p>
    <w:p w14:paraId="10AAEFC3" w14:textId="77777777" w:rsidR="00843C37" w:rsidRPr="00B82006" w:rsidRDefault="00843C37" w:rsidP="00843C37">
      <w:pPr>
        <w:spacing w:before="251" w:line="254" w:lineRule="exact"/>
        <w:textAlignment w:val="baseline"/>
        <w:rPr>
          <w:rFonts w:ascii="Arial" w:eastAsia="Arial" w:hAnsi="Arial"/>
          <w:b/>
          <w:i/>
          <w:lang w:val="es-ES"/>
        </w:rPr>
      </w:pPr>
      <w:r w:rsidRPr="00B82006">
        <w:rPr>
          <w:rFonts w:ascii="Arial" w:eastAsia="Arial" w:hAnsi="Arial"/>
          <w:b/>
          <w:i/>
          <w:lang w:val="es-ES"/>
        </w:rPr>
        <w:t>Artículo12: Terminación</w:t>
      </w:r>
    </w:p>
    <w:p w14:paraId="10AAEFC4" w14:textId="77777777" w:rsidR="00843C37" w:rsidRPr="00B82006" w:rsidRDefault="00843C37" w:rsidP="00843C37">
      <w:pPr>
        <w:spacing w:before="251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 xml:space="preserve">Este </w:t>
      </w:r>
      <w:r w:rsidR="00342A70" w:rsidRPr="00B82006">
        <w:rPr>
          <w:rFonts w:ascii="Arial" w:eastAsia="Arial" w:hAnsi="Arial"/>
          <w:lang w:val="es-ES"/>
        </w:rPr>
        <w:t>C</w:t>
      </w:r>
      <w:r w:rsidRPr="00B82006">
        <w:rPr>
          <w:rFonts w:ascii="Arial" w:eastAsia="Arial" w:hAnsi="Arial"/>
          <w:lang w:val="es-ES"/>
        </w:rPr>
        <w:t xml:space="preserve">onvenio </w:t>
      </w:r>
      <w:r w:rsidR="0015202B" w:rsidRPr="00B82006">
        <w:rPr>
          <w:rFonts w:ascii="Arial" w:eastAsia="Arial" w:hAnsi="Arial"/>
          <w:lang w:val="es-ES"/>
        </w:rPr>
        <w:t>podrá</w:t>
      </w:r>
      <w:r w:rsidRPr="00B82006">
        <w:rPr>
          <w:rFonts w:ascii="Arial" w:eastAsia="Arial" w:hAnsi="Arial"/>
          <w:lang w:val="es-ES"/>
        </w:rPr>
        <w:t xml:space="preserve"> </w:t>
      </w:r>
      <w:r w:rsidR="0015202B" w:rsidRPr="00B82006">
        <w:rPr>
          <w:rFonts w:ascii="Arial" w:eastAsia="Arial" w:hAnsi="Arial"/>
          <w:lang w:val="es-ES"/>
        </w:rPr>
        <w:t>terminarse</w:t>
      </w:r>
      <w:r w:rsidRPr="00B82006">
        <w:rPr>
          <w:rFonts w:ascii="Arial" w:eastAsia="Arial" w:hAnsi="Arial"/>
          <w:lang w:val="es-ES"/>
        </w:rPr>
        <w:t xml:space="preserve"> en cualquier momento</w:t>
      </w:r>
      <w:r w:rsidR="0015202B" w:rsidRPr="00B82006">
        <w:rPr>
          <w:rFonts w:ascii="Arial" w:eastAsia="Arial" w:hAnsi="Arial"/>
          <w:lang w:val="es-ES"/>
        </w:rPr>
        <w:t>,</w:t>
      </w:r>
      <w:r w:rsidRPr="00B82006">
        <w:rPr>
          <w:rFonts w:ascii="Arial" w:eastAsia="Arial" w:hAnsi="Arial"/>
          <w:lang w:val="es-ES"/>
        </w:rPr>
        <w:t xml:space="preserve"> por </w:t>
      </w:r>
      <w:r w:rsidR="0015202B" w:rsidRPr="00B82006">
        <w:rPr>
          <w:rFonts w:ascii="Arial" w:eastAsia="Arial" w:hAnsi="Arial"/>
          <w:lang w:val="es-ES"/>
        </w:rPr>
        <w:t xml:space="preserve">voluntad de </w:t>
      </w:r>
      <w:r w:rsidRPr="00B82006">
        <w:rPr>
          <w:rFonts w:ascii="Arial" w:eastAsia="Arial" w:hAnsi="Arial"/>
          <w:lang w:val="es-ES"/>
        </w:rPr>
        <w:t>cualquiera de las partes</w:t>
      </w:r>
      <w:r w:rsidR="0015202B" w:rsidRPr="00B82006">
        <w:rPr>
          <w:rFonts w:ascii="Arial" w:eastAsia="Arial" w:hAnsi="Arial"/>
          <w:lang w:val="es-ES"/>
        </w:rPr>
        <w:t>, siempre que lo comunique previamente a la otra parte con una antelación mínima de 6 meses o una antelación inferior si existe mutuo acuerdo de las partes.</w:t>
      </w:r>
    </w:p>
    <w:p w14:paraId="10AAEFC5" w14:textId="577743B7" w:rsidR="00843C37" w:rsidRPr="00B82006" w:rsidRDefault="00344C46" w:rsidP="00843C37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sdt>
        <w:sdtPr>
          <w:rPr>
            <w:rFonts w:ascii="Arial" w:eastAsia="Arial" w:hAnsi="Arial"/>
            <w:lang w:val="es-ES"/>
          </w:rPr>
          <w:id w:val="719018424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estará entonces obligado a designar, con anterioridad a la expiración del plazo de preaviso, una entidad participante en el </w:t>
      </w:r>
      <w:r w:rsidR="003C4C39" w:rsidRPr="00B82006">
        <w:rPr>
          <w:rFonts w:ascii="Arial" w:eastAsia="Arial" w:hAnsi="Arial"/>
          <w:lang w:val="es-ES"/>
        </w:rPr>
        <w:t xml:space="preserve">Sistema de Liquidación ARCO </w:t>
      </w:r>
      <w:r w:rsidR="00843C37" w:rsidRPr="00B82006">
        <w:rPr>
          <w:rFonts w:ascii="Arial" w:eastAsia="Arial" w:hAnsi="Arial"/>
          <w:lang w:val="es-ES"/>
        </w:rPr>
        <w:t>que regist</w:t>
      </w:r>
      <w:r w:rsidR="00FA516B">
        <w:rPr>
          <w:rFonts w:ascii="Arial" w:eastAsia="Arial" w:hAnsi="Arial"/>
          <w:lang w:val="es-ES"/>
        </w:rPr>
        <w:t xml:space="preserve">re los valores registrados por </w:t>
      </w:r>
      <w:sdt>
        <w:sdtPr>
          <w:rPr>
            <w:rFonts w:ascii="Arial" w:eastAsia="Arial" w:hAnsi="Arial"/>
            <w:lang w:val="es-ES"/>
          </w:rPr>
          <w:id w:val="473577252"/>
          <w:placeholder>
            <w:docPart w:val="DefaultPlaceholder_-1854013440"/>
          </w:placeholder>
        </w:sdtPr>
        <w:sdtEndPr/>
        <w:sdtContent>
          <w:r w:rsidR="00FA516B">
            <w:rPr>
              <w:rFonts w:ascii="Arial" w:eastAsia="Arial" w:hAnsi="Arial"/>
              <w:lang w:val="es-ES"/>
            </w:rPr>
            <w:t>XXXXX</w:t>
          </w:r>
        </w:sdtContent>
      </w:sdt>
      <w:r w:rsidR="00843C37" w:rsidRPr="00B82006">
        <w:rPr>
          <w:rFonts w:ascii="Arial" w:eastAsia="Arial" w:hAnsi="Arial"/>
          <w:lang w:val="es-ES"/>
        </w:rPr>
        <w:t xml:space="preserve"> hasta entonces.</w:t>
      </w:r>
    </w:p>
    <w:p w14:paraId="10AAEFC6" w14:textId="77777777" w:rsidR="00843C37" w:rsidRPr="00B82006" w:rsidRDefault="00843C37" w:rsidP="008613E0">
      <w:pPr>
        <w:spacing w:before="254" w:line="253" w:lineRule="exact"/>
        <w:ind w:right="432"/>
        <w:jc w:val="both"/>
        <w:textAlignment w:val="baseline"/>
        <w:rPr>
          <w:rFonts w:ascii="Arial" w:eastAsia="Arial" w:hAnsi="Arial"/>
          <w:lang w:val="es-ES"/>
        </w:rPr>
      </w:pPr>
      <w:r w:rsidRPr="00B82006">
        <w:rPr>
          <w:rFonts w:ascii="Arial" w:eastAsia="Arial" w:hAnsi="Arial"/>
          <w:lang w:val="es-ES"/>
        </w:rPr>
        <w:t>Hasta que las cuentas de valores se cancelen, todos los derechos y obligaciones de las</w:t>
      </w:r>
      <w:r w:rsidR="006F067D" w:rsidRPr="00B82006">
        <w:rPr>
          <w:rFonts w:ascii="Arial" w:eastAsia="Arial" w:hAnsi="Arial"/>
          <w:lang w:val="es-ES"/>
        </w:rPr>
        <w:t xml:space="preserve"> partes derivadas del presente C</w:t>
      </w:r>
      <w:r w:rsidRPr="00B82006">
        <w:rPr>
          <w:rFonts w:ascii="Arial" w:eastAsia="Arial" w:hAnsi="Arial"/>
          <w:lang w:val="es-ES"/>
        </w:rPr>
        <w:t>onvenio se mantendrán válidos en la medida que sea necesario.</w:t>
      </w:r>
    </w:p>
    <w:p w14:paraId="75C5E88C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2A667BD3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4B06CDD6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04B628F0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3910F2CA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3BB6EAE5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7BE7609F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2A0455C1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45624BBB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094AB362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  <w:lang w:val="es-ES"/>
        </w:rPr>
      </w:pPr>
    </w:p>
    <w:p w14:paraId="69CCC9FC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3EA44075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290B6579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085257EA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4C340395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2A6C5078" w14:textId="77777777" w:rsidR="00FD7C26" w:rsidRDefault="00FD7C26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52E5C420" w14:textId="4C1E8C96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  <w:r w:rsidRPr="00FD7C26">
        <w:rPr>
          <w:rFonts w:ascii="Arial" w:hAnsi="Arial" w:cs="Arial"/>
          <w:sz w:val="14"/>
          <w:szCs w:val="14"/>
          <w:lang w:val="es-ES"/>
        </w:rPr>
        <w:t>Mediante su firma, los representantes o personas de contacto firmantes de este Contrato</w:t>
      </w:r>
      <w:bookmarkStart w:id="0" w:name="_Hlk113873318"/>
      <w:r w:rsidRPr="00FD7C26">
        <w:rPr>
          <w:rFonts w:ascii="Arial" w:hAnsi="Arial" w:cs="Arial"/>
          <w:sz w:val="14"/>
          <w:szCs w:val="14"/>
          <w:lang w:val="es-ES"/>
        </w:rPr>
        <w:t xml:space="preserve"> y sus anexos (en adelante, “Interesados”)</w:t>
      </w:r>
      <w:bookmarkEnd w:id="0"/>
      <w:r w:rsidRPr="00FD7C26">
        <w:rPr>
          <w:rFonts w:ascii="Arial" w:hAnsi="Arial" w:cs="Arial"/>
          <w:sz w:val="14"/>
          <w:szCs w:val="14"/>
          <w:lang w:val="es-ES"/>
        </w:rPr>
        <w:t xml:space="preserve">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FD7C26">
        <w:rPr>
          <w:rFonts w:ascii="Arial" w:hAnsi="Arial" w:cs="Arial"/>
          <w:sz w:val="14"/>
          <w:szCs w:val="14"/>
          <w:lang w:val="es-ES"/>
        </w:rPr>
        <w:t>Responsable</w:t>
      </w:r>
      <w:proofErr w:type="gramEnd"/>
      <w:r w:rsidRPr="00FD7C26">
        <w:rPr>
          <w:rFonts w:ascii="Arial" w:hAnsi="Arial" w:cs="Arial"/>
          <w:sz w:val="14"/>
          <w:szCs w:val="14"/>
          <w:lang w:val="es-ES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</w:t>
      </w:r>
      <w:r w:rsidRPr="00FD7C26" w:rsidDel="00D73919">
        <w:rPr>
          <w:rFonts w:ascii="Arial" w:hAnsi="Arial" w:cs="Arial"/>
          <w:sz w:val="14"/>
          <w:szCs w:val="14"/>
          <w:lang w:val="es-ES"/>
        </w:rPr>
        <w:t xml:space="preserve"> </w:t>
      </w:r>
      <w:r w:rsidRPr="00FD7C26">
        <w:rPr>
          <w:rFonts w:ascii="Arial" w:hAnsi="Arial" w:cs="Arial"/>
          <w:sz w:val="14"/>
          <w:szCs w:val="14"/>
          <w:lang w:val="es-ES"/>
        </w:rPr>
        <w:t xml:space="preserve">a las empresas del Grupo </w:t>
      </w:r>
      <w:r w:rsidR="00E618C8">
        <w:rPr>
          <w:rFonts w:ascii="Arial" w:hAnsi="Arial" w:cs="Arial"/>
          <w:sz w:val="14"/>
          <w:szCs w:val="14"/>
          <w:lang w:val="es-ES"/>
        </w:rPr>
        <w:t xml:space="preserve">BME </w:t>
      </w:r>
      <w:r w:rsidRPr="00FD7C26">
        <w:rPr>
          <w:rFonts w:ascii="Arial" w:hAnsi="Arial" w:cs="Arial"/>
          <w:sz w:val="14"/>
          <w:szCs w:val="14"/>
          <w:lang w:val="es-ES"/>
        </w:rPr>
        <w:t xml:space="preserve">al que pertenece Iberclear. Se prevé la existencia de transferencias internacionales de datos a Suiza, país donde radica SIX Group AG y otras compañías del Grupo SIX al que pertenece BME. Suiza ha sido </w:t>
      </w:r>
      <w:proofErr w:type="gramStart"/>
      <w:r w:rsidRPr="00FD7C26">
        <w:rPr>
          <w:rFonts w:ascii="Arial" w:hAnsi="Arial" w:cs="Arial"/>
          <w:sz w:val="14"/>
          <w:szCs w:val="14"/>
          <w:lang w:val="es-ES"/>
        </w:rPr>
        <w:t>declarado como</w:t>
      </w:r>
      <w:proofErr w:type="gramEnd"/>
      <w:r w:rsidRPr="00FD7C26">
        <w:rPr>
          <w:rFonts w:ascii="Arial" w:hAnsi="Arial" w:cs="Arial"/>
          <w:sz w:val="14"/>
          <w:szCs w:val="14"/>
          <w:lang w:val="es-ES"/>
        </w:rPr>
        <w:t xml:space="preserve"> un país que cuenta con un nivel de protección adecuado por la Comisión Europea. No se prevé la existencia de decisiones automatizadas y elaboración de perfiles.</w:t>
      </w:r>
    </w:p>
    <w:p w14:paraId="53A1E18E" w14:textId="77777777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0456EDF0" w14:textId="77777777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  <w:r w:rsidRPr="00FD7C26">
        <w:rPr>
          <w:rFonts w:ascii="Arial" w:hAnsi="Arial" w:cs="Arial"/>
          <w:sz w:val="14"/>
          <w:szCs w:val="14"/>
          <w:lang w:val="es-ES"/>
        </w:rPr>
        <w:t>Los datos personales</w:t>
      </w:r>
      <w:r w:rsidRPr="00FD7C26" w:rsidDel="00D73919">
        <w:rPr>
          <w:rFonts w:ascii="Arial" w:hAnsi="Arial" w:cs="Arial"/>
          <w:sz w:val="14"/>
          <w:szCs w:val="14"/>
          <w:lang w:val="es-ES"/>
        </w:rPr>
        <w:t xml:space="preserve"> </w:t>
      </w:r>
      <w:r w:rsidRPr="00FD7C26">
        <w:rPr>
          <w:rFonts w:ascii="Arial" w:hAnsi="Arial" w:cs="Arial"/>
          <w:sz w:val="14"/>
          <w:szCs w:val="14"/>
          <w:lang w:val="es-ES"/>
        </w:rPr>
        <w:t>serán conservados durante la vigencia de la relación contractual y, posteriormente, durante los plazos en los que se pueda derivar cualquier tipo de responsabilidad legal.</w:t>
      </w:r>
    </w:p>
    <w:p w14:paraId="15F2D280" w14:textId="77777777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1F8248D3" w14:textId="77777777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  <w:r w:rsidRPr="00FD7C26">
        <w:rPr>
          <w:rFonts w:ascii="Arial" w:hAnsi="Arial" w:cs="Arial"/>
          <w:sz w:val="14"/>
          <w:szCs w:val="14"/>
          <w:lang w:val="es-ES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14" w:history="1">
        <w:r w:rsidRPr="00FD7C26">
          <w:rPr>
            <w:rFonts w:ascii="Arial" w:hAnsi="Arial" w:cs="Arial"/>
            <w:sz w:val="14"/>
            <w:szCs w:val="14"/>
            <w:lang w:val="es-ES"/>
          </w:rPr>
          <w:t>protecciondedatos@grupobme.es</w:t>
        </w:r>
      </w:hyperlink>
      <w:r w:rsidRPr="00FD7C26">
        <w:rPr>
          <w:rFonts w:ascii="Arial" w:hAnsi="Arial" w:cs="Arial"/>
          <w:sz w:val="14"/>
          <w:szCs w:val="14"/>
          <w:lang w:val="es-ES"/>
        </w:rPr>
        <w:t>, pudiendo dirigirse a la Agencia Española de Protección de Datos (</w:t>
      </w:r>
      <w:hyperlink r:id="rId15" w:history="1">
        <w:r w:rsidRPr="00FD7C26">
          <w:rPr>
            <w:rFonts w:ascii="Arial" w:hAnsi="Arial" w:cs="Arial"/>
            <w:sz w:val="14"/>
            <w:szCs w:val="14"/>
            <w:lang w:val="es-ES"/>
          </w:rPr>
          <w:t>www.aepd.es</w:t>
        </w:r>
      </w:hyperlink>
      <w:r w:rsidRPr="00FD7C26">
        <w:rPr>
          <w:rFonts w:ascii="Arial" w:hAnsi="Arial" w:cs="Arial"/>
          <w:sz w:val="14"/>
          <w:szCs w:val="14"/>
          <w:lang w:val="es-ES"/>
        </w:rPr>
        <w:t>) para cualquier reclamación relativa al tratamiento de sus datos personales.</w:t>
      </w:r>
    </w:p>
    <w:p w14:paraId="643095B3" w14:textId="77777777" w:rsidR="001B10F4" w:rsidRPr="00FD7C26" w:rsidRDefault="001B10F4" w:rsidP="001B10F4">
      <w:pPr>
        <w:spacing w:line="288" w:lineRule="auto"/>
        <w:jc w:val="both"/>
        <w:textAlignment w:val="top"/>
        <w:rPr>
          <w:rFonts w:ascii="Arial" w:hAnsi="Arial" w:cs="Arial"/>
          <w:sz w:val="14"/>
          <w:szCs w:val="14"/>
          <w:lang w:val="es-ES"/>
        </w:rPr>
      </w:pPr>
    </w:p>
    <w:p w14:paraId="10AAEFC9" w14:textId="1669BCA8" w:rsidR="007038B2" w:rsidRDefault="001B10F4" w:rsidP="00FD7C26">
      <w:pPr>
        <w:spacing w:line="288" w:lineRule="auto"/>
        <w:jc w:val="both"/>
        <w:textAlignment w:val="top"/>
        <w:rPr>
          <w:noProof/>
          <w:lang w:val="es-ES" w:eastAsia="es-ES"/>
        </w:rPr>
      </w:pPr>
      <w:r w:rsidRPr="00FD7C26">
        <w:rPr>
          <w:rFonts w:ascii="Arial" w:hAnsi="Arial" w:cs="Arial"/>
          <w:sz w:val="14"/>
          <w:szCs w:val="14"/>
          <w:lang w:val="es-ES"/>
        </w:rPr>
        <w:t>En caso de que algún Interesado aporte datos personales de otras personas físicas, éste se compromete a facilitar la información contenida en esta cláusula a las mismas.</w:t>
      </w:r>
      <w:r w:rsidR="007038B2">
        <w:rPr>
          <w:noProof/>
          <w:lang w:val="es-ES" w:eastAsia="es-ES"/>
        </w:rPr>
        <w:br w:type="page"/>
      </w:r>
    </w:p>
    <w:p w14:paraId="10AAEFCA" w14:textId="77777777" w:rsidR="0015202B" w:rsidRPr="00B82006" w:rsidRDefault="0015202B" w:rsidP="007038B2">
      <w:pPr>
        <w:spacing w:before="7" w:after="421"/>
        <w:ind w:right="6051"/>
        <w:textAlignment w:val="baseline"/>
        <w:rPr>
          <w:lang w:val="es-ES"/>
        </w:rPr>
      </w:pPr>
    </w:p>
    <w:p w14:paraId="10AAEFCB" w14:textId="77777777" w:rsidR="0015202B" w:rsidRPr="00B82006" w:rsidRDefault="0015202B" w:rsidP="00843C37">
      <w:pPr>
        <w:spacing w:before="7" w:after="421"/>
        <w:ind w:left="107" w:right="6051"/>
        <w:textAlignment w:val="baseline"/>
        <w:rPr>
          <w:lang w:val="es-ES"/>
        </w:rPr>
      </w:pPr>
    </w:p>
    <w:p w14:paraId="10AAEFCC" w14:textId="77777777" w:rsidR="00843C37" w:rsidRPr="00B82006" w:rsidRDefault="00843C37" w:rsidP="00843C37">
      <w:pPr>
        <w:spacing w:before="2" w:line="276" w:lineRule="exact"/>
        <w:jc w:val="center"/>
        <w:textAlignment w:val="baseline"/>
        <w:rPr>
          <w:rFonts w:ascii="Arial" w:eastAsia="Arial" w:hAnsi="Arial"/>
          <w:b/>
          <w:spacing w:val="-2"/>
          <w:sz w:val="24"/>
          <w:lang w:val="es-ES"/>
        </w:rPr>
      </w:pPr>
      <w:r w:rsidRPr="00B82006">
        <w:rPr>
          <w:rFonts w:ascii="Arial" w:eastAsia="Arial" w:hAnsi="Arial"/>
          <w:b/>
          <w:spacing w:val="-2"/>
          <w:sz w:val="24"/>
          <w:lang w:val="es-ES"/>
        </w:rPr>
        <w:t>SECCION OPERATIVA</w:t>
      </w:r>
    </w:p>
    <w:p w14:paraId="10AAEFCD" w14:textId="77777777" w:rsidR="00AC2F46" w:rsidRPr="00FA516B" w:rsidRDefault="00AC2F46" w:rsidP="00AC2F46">
      <w:pPr>
        <w:pStyle w:val="Prrafodelista"/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</w:p>
    <w:p w14:paraId="10AAEFCE" w14:textId="77777777" w:rsidR="00843C37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Cuentas de valores</w:t>
      </w:r>
    </w:p>
    <w:p w14:paraId="10AAEFCF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Valores elegibles</w:t>
      </w:r>
    </w:p>
    <w:p w14:paraId="10AAEFD0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Cuentas de efectivo</w:t>
      </w:r>
    </w:p>
    <w:p w14:paraId="10AAEFD1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Descripción de los servicios de liquidación de valores</w:t>
      </w:r>
    </w:p>
    <w:p w14:paraId="10AAEFD2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Envío de datos al Sistema Información, transmisión y almacenamiento de datos (PTI)</w:t>
      </w:r>
    </w:p>
    <w:p w14:paraId="10AAEFD3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Gestión de eventos corporativos</w:t>
      </w:r>
    </w:p>
    <w:p w14:paraId="10AAEFD4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Otros servicios</w:t>
      </w:r>
    </w:p>
    <w:p w14:paraId="10AAEFD5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Infraestructura de comunicaciones</w:t>
      </w:r>
    </w:p>
    <w:p w14:paraId="10AAEFD6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Identificación de las reglas de firmeza</w:t>
      </w:r>
    </w:p>
    <w:p w14:paraId="10AAEFD7" w14:textId="77777777" w:rsidR="00AC2F46" w:rsidRPr="00FA516B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Tarifas</w:t>
      </w:r>
    </w:p>
    <w:p w14:paraId="10AAEFD8" w14:textId="77777777" w:rsidR="00AC2F46" w:rsidRDefault="00AC2F46" w:rsidP="00AC2F46">
      <w:pPr>
        <w:pStyle w:val="Prrafodelista"/>
        <w:numPr>
          <w:ilvl w:val="0"/>
          <w:numId w:val="10"/>
        </w:num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  <w:r w:rsidRPr="00FA516B">
        <w:rPr>
          <w:rFonts w:ascii="Arial" w:eastAsia="Arial" w:hAnsi="Arial"/>
          <w:b/>
          <w:i/>
          <w:spacing w:val="-3"/>
          <w:lang w:val="es-ES"/>
        </w:rPr>
        <w:t>Notificaciones</w:t>
      </w:r>
    </w:p>
    <w:p w14:paraId="50079B4B" w14:textId="77777777" w:rsidR="009A15DC" w:rsidRDefault="009A15DC" w:rsidP="009A15DC">
      <w:p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</w:p>
    <w:p w14:paraId="55A5309F" w14:textId="77777777" w:rsidR="009A15DC" w:rsidRPr="009A15DC" w:rsidRDefault="009A15DC" w:rsidP="009A15DC">
      <w:pPr>
        <w:tabs>
          <w:tab w:val="left" w:pos="720"/>
        </w:tabs>
        <w:spacing w:before="276" w:line="276" w:lineRule="exact"/>
        <w:textAlignment w:val="baseline"/>
        <w:rPr>
          <w:rFonts w:ascii="Arial" w:eastAsia="Arial" w:hAnsi="Arial"/>
          <w:b/>
          <w:i/>
          <w:spacing w:val="-3"/>
          <w:lang w:val="es-ES"/>
        </w:rPr>
      </w:pPr>
    </w:p>
    <w:sectPr w:rsidR="009A15DC" w:rsidRPr="009A1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1F32" w14:textId="77777777" w:rsidR="009A15DC" w:rsidRDefault="009A15DC" w:rsidP="009A15DC">
      <w:r>
        <w:separator/>
      </w:r>
    </w:p>
  </w:endnote>
  <w:endnote w:type="continuationSeparator" w:id="0">
    <w:p w14:paraId="456478ED" w14:textId="77777777" w:rsidR="009A15DC" w:rsidRDefault="009A15DC" w:rsidP="009A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B2B" w14:textId="77777777" w:rsidR="00211ECB" w:rsidRDefault="00211E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FE6A" w14:textId="4ADFEB97" w:rsidR="0045179D" w:rsidRDefault="0045179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5DD4AE" wp14:editId="653ADB9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f1574138b1c2a381980bd0b9" descr="{&quot;HashCode&quot;:107880146,&quot;Height&quot;:841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9D2CF6" w14:textId="2EE93F14" w:rsidR="0045179D" w:rsidRPr="00211ECB" w:rsidRDefault="00211ECB" w:rsidP="00211EC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1E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C1 -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DD4AE" id="_x0000_t202" coordsize="21600,21600" o:spt="202" path="m,l,21600r21600,l21600,xe">
              <v:stroke joinstyle="miter"/>
              <v:path gradientshapeok="t" o:connecttype="rect"/>
            </v:shapetype>
            <v:shape id="MSIPCMf1574138b1c2a381980bd0b9" o:spid="_x0000_s1027" type="#_x0000_t202" alt="{&quot;HashCode&quot;:107880146,&quot;Height&quot;:841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159D2CF6" w14:textId="2EE93F14" w:rsidR="0045179D" w:rsidRPr="00211ECB" w:rsidRDefault="00211ECB" w:rsidP="00211EC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1ECB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C1 -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B24D" w14:textId="77777777" w:rsidR="00211ECB" w:rsidRDefault="00211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5C94" w14:textId="77777777" w:rsidR="009A15DC" w:rsidRDefault="009A15DC" w:rsidP="009A15DC">
      <w:r>
        <w:separator/>
      </w:r>
    </w:p>
  </w:footnote>
  <w:footnote w:type="continuationSeparator" w:id="0">
    <w:p w14:paraId="40DC40FC" w14:textId="77777777" w:rsidR="009A15DC" w:rsidRDefault="009A15DC" w:rsidP="009A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CE31" w14:textId="77777777" w:rsidR="00211ECB" w:rsidRDefault="00211E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DE9B" w14:textId="77777777" w:rsidR="00211ECB" w:rsidRDefault="00211E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C56C" w14:textId="77777777" w:rsidR="00211ECB" w:rsidRDefault="00211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61A"/>
    <w:multiLevelType w:val="multilevel"/>
    <w:tmpl w:val="C8FAAE44"/>
    <w:lvl w:ilvl="0">
      <w:start w:val="1"/>
      <w:numFmt w:val="decimal"/>
      <w:lvlText w:val="(%1)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A0C72"/>
    <w:multiLevelType w:val="multilevel"/>
    <w:tmpl w:val="2A30D970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F5A9B"/>
    <w:multiLevelType w:val="multilevel"/>
    <w:tmpl w:val="6A5CE804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715E0"/>
    <w:multiLevelType w:val="multilevel"/>
    <w:tmpl w:val="AC28FE96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33BCA"/>
    <w:multiLevelType w:val="hybridMultilevel"/>
    <w:tmpl w:val="07A82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628F"/>
    <w:multiLevelType w:val="multilevel"/>
    <w:tmpl w:val="8AD0E3B8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89048A"/>
    <w:multiLevelType w:val="multilevel"/>
    <w:tmpl w:val="A7A87B0E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E626AD"/>
    <w:multiLevelType w:val="multilevel"/>
    <w:tmpl w:val="C7D8575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E01843"/>
    <w:multiLevelType w:val="multilevel"/>
    <w:tmpl w:val="F9446F90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286BB7"/>
    <w:multiLevelType w:val="multilevel"/>
    <w:tmpl w:val="22A0B382"/>
    <w:lvl w:ilvl="0">
      <w:start w:val="1"/>
      <w:numFmt w:val="upperLetter"/>
      <w:lvlText w:val="(%1)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tqcV0a0aziSmTLB0hESXSkObqagGK2c9SAqKbH5vv3lzlerSxnrswXWlb6zoajePbLdpM8LflubNsujfDQNw==" w:salt="LPjUfyi5HlbUiOc8NKRBv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95"/>
    <w:rsid w:val="00010481"/>
    <w:rsid w:val="00015E5D"/>
    <w:rsid w:val="00023A57"/>
    <w:rsid w:val="00073D3F"/>
    <w:rsid w:val="00134F76"/>
    <w:rsid w:val="00144FF6"/>
    <w:rsid w:val="0015202B"/>
    <w:rsid w:val="001B10F4"/>
    <w:rsid w:val="00207725"/>
    <w:rsid w:val="00211ECB"/>
    <w:rsid w:val="00267B01"/>
    <w:rsid w:val="00295F8D"/>
    <w:rsid w:val="002B5389"/>
    <w:rsid w:val="00342A70"/>
    <w:rsid w:val="00344C46"/>
    <w:rsid w:val="0035578B"/>
    <w:rsid w:val="00382B5D"/>
    <w:rsid w:val="003C4C39"/>
    <w:rsid w:val="003F34B9"/>
    <w:rsid w:val="0045179D"/>
    <w:rsid w:val="004B104A"/>
    <w:rsid w:val="004C2443"/>
    <w:rsid w:val="005439CF"/>
    <w:rsid w:val="00611001"/>
    <w:rsid w:val="00694AE6"/>
    <w:rsid w:val="006B0073"/>
    <w:rsid w:val="006F067D"/>
    <w:rsid w:val="006F59E9"/>
    <w:rsid w:val="007038B2"/>
    <w:rsid w:val="007911B2"/>
    <w:rsid w:val="007C603E"/>
    <w:rsid w:val="0080315C"/>
    <w:rsid w:val="008069D4"/>
    <w:rsid w:val="00843C37"/>
    <w:rsid w:val="008613E0"/>
    <w:rsid w:val="008B1407"/>
    <w:rsid w:val="008F445E"/>
    <w:rsid w:val="009032AA"/>
    <w:rsid w:val="00910DAD"/>
    <w:rsid w:val="00913EB1"/>
    <w:rsid w:val="00926EC0"/>
    <w:rsid w:val="00974251"/>
    <w:rsid w:val="00986B0A"/>
    <w:rsid w:val="009A15DC"/>
    <w:rsid w:val="00AC2F46"/>
    <w:rsid w:val="00B82006"/>
    <w:rsid w:val="00BB1820"/>
    <w:rsid w:val="00BE648D"/>
    <w:rsid w:val="00C5451F"/>
    <w:rsid w:val="00C72A95"/>
    <w:rsid w:val="00CF37B7"/>
    <w:rsid w:val="00D41FEB"/>
    <w:rsid w:val="00D911FF"/>
    <w:rsid w:val="00DD3D62"/>
    <w:rsid w:val="00E369A0"/>
    <w:rsid w:val="00E36F11"/>
    <w:rsid w:val="00E618C8"/>
    <w:rsid w:val="00E656B5"/>
    <w:rsid w:val="00F65861"/>
    <w:rsid w:val="00FA516B"/>
    <w:rsid w:val="00FB5099"/>
    <w:rsid w:val="00FD7C26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AAEF79"/>
  <w15:chartTrackingRefBased/>
  <w15:docId w15:val="{3FD4EA53-3600-403E-B6F0-3643675A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37"/>
    <w:pPr>
      <w:spacing w:line="240" w:lineRule="auto"/>
      <w:ind w:left="0" w:firstLine="0"/>
      <w:jc w:val="left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31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1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15C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1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15C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1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5C"/>
    <w:rPr>
      <w:rFonts w:ascii="Segoe UI" w:eastAsia="PMingLiU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10DA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A1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5DC"/>
    <w:rPr>
      <w:rFonts w:ascii="Times New Roman" w:eastAsia="PMingLiU" w:hAnsi="Times New Roman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73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3D3F"/>
    <w:rPr>
      <w:rFonts w:ascii="Times New Roman" w:eastAsia="PMingLiU" w:hAnsi="Times New Roman" w:cs="Times New Roman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F5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epd.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otecciondedatos@grupobm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DB41-F34D-45C4-BC6C-EAEF32923881}"/>
      </w:docPartPr>
      <w:docPartBody>
        <w:p w:rsidR="00AE0C7B" w:rsidRDefault="00406D8C">
          <w:r w:rsidRPr="00A338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1343A07E904C2AB296D55C312C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65C-E89A-4441-A07A-D90870CF9354}"/>
      </w:docPartPr>
      <w:docPartBody>
        <w:p w:rsidR="00AE0C7B" w:rsidRDefault="00406D8C" w:rsidP="00406D8C">
          <w:pPr>
            <w:pStyle w:val="411343A07E904C2AB296D55C312CD1A2"/>
          </w:pPr>
          <w:r w:rsidRPr="00A3388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C"/>
    <w:rsid w:val="00406D8C"/>
    <w:rsid w:val="00A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D8C"/>
    <w:rPr>
      <w:color w:val="808080"/>
    </w:rPr>
  </w:style>
  <w:style w:type="paragraph" w:customStyle="1" w:styleId="411343A07E904C2AB296D55C312CD1A2">
    <w:name w:val="411343A07E904C2AB296D55C312CD1A2"/>
    <w:rsid w:val="00406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B7D1-231C-40E9-8F75-D7477D6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Cea de Jorge</dc:creator>
  <cp:keywords/>
  <dc:description/>
  <cp:lastModifiedBy>Iberclear</cp:lastModifiedBy>
  <cp:revision>4</cp:revision>
  <cp:lastPrinted>2017-07-24T16:45:00Z</cp:lastPrinted>
  <dcterms:created xsi:type="dcterms:W3CDTF">2022-12-02T08:53:00Z</dcterms:created>
  <dcterms:modified xsi:type="dcterms:W3CDTF">2022-12-02T10:39:00Z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7ed870-a345-4f9b-82a0-03d347ae83d3_Enabled">
    <vt:lpwstr>true</vt:lpwstr>
  </property>
  <property fmtid="{D5CDD505-2E9C-101B-9397-08002B2CF9AE}" pid="3" name="MSIP_Label_c87ed870-a345-4f9b-82a0-03d347ae83d3_SetDate">
    <vt:lpwstr>2022-12-02T10:39:09Z</vt:lpwstr>
  </property>
  <property fmtid="{D5CDD505-2E9C-101B-9397-08002B2CF9AE}" pid="4" name="MSIP_Label_c87ed870-a345-4f9b-82a0-03d347ae83d3_Method">
    <vt:lpwstr>Privileged</vt:lpwstr>
  </property>
  <property fmtid="{D5CDD505-2E9C-101B-9397-08002B2CF9AE}" pid="5" name="MSIP_Label_c87ed870-a345-4f9b-82a0-03d347ae83d3_Name">
    <vt:lpwstr>C1 Public</vt:lpwstr>
  </property>
  <property fmtid="{D5CDD505-2E9C-101B-9397-08002B2CF9AE}" pid="6" name="MSIP_Label_c87ed870-a345-4f9b-82a0-03d347ae83d3_SiteId">
    <vt:lpwstr>faac5f16-6c6a-4379-bf59-205b22f007ec</vt:lpwstr>
  </property>
  <property fmtid="{D5CDD505-2E9C-101B-9397-08002B2CF9AE}" pid="7" name="MSIP_Label_c87ed870-a345-4f9b-82a0-03d347ae83d3_ActionId">
    <vt:lpwstr>fb01cc30-ce42-419a-9e4f-43700f7bca65</vt:lpwstr>
  </property>
  <property fmtid="{D5CDD505-2E9C-101B-9397-08002B2CF9AE}" pid="8" name="MSIP_Label_c87ed870-a345-4f9b-82a0-03d347ae83d3_ContentBits">
    <vt:lpwstr>2</vt:lpwstr>
  </property>
</Properties>
</file>